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BE3" w:rsidRPr="00F76B76" w:rsidRDefault="00F31BE3" w:rsidP="00F31BE3">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14</w:t>
      </w:r>
      <w:r w:rsidRPr="00F76B76">
        <w:rPr>
          <w:rFonts w:ascii="Arial" w:hAnsi="Arial" w:cs="Arial"/>
          <w:b/>
          <w:bCs/>
          <w:sz w:val="24"/>
          <w:szCs w:val="24"/>
        </w:rPr>
        <w:tab/>
      </w:r>
      <w:r w:rsidRPr="009E43ED">
        <w:rPr>
          <w:rFonts w:ascii="Arial" w:hAnsi="Arial" w:cs="Arial"/>
          <w:b/>
          <w:bCs/>
          <w:color w:val="auto"/>
          <w:sz w:val="24"/>
          <w:szCs w:val="24"/>
        </w:rPr>
        <w:t>S2-16</w:t>
      </w:r>
      <w:r w:rsidR="00047763">
        <w:rPr>
          <w:rFonts w:ascii="Arial" w:hAnsi="Arial" w:cs="Arial"/>
          <w:b/>
          <w:bCs/>
          <w:color w:val="auto"/>
          <w:sz w:val="24"/>
          <w:szCs w:val="24"/>
        </w:rPr>
        <w:t>1819</w:t>
      </w:r>
    </w:p>
    <w:p w:rsidR="00F31BE3" w:rsidRPr="00F76B76" w:rsidRDefault="00F31BE3" w:rsidP="00F31BE3">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11 - 15 April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bookmarkEnd w:id="0"/>
    <w:bookmarkEnd w:id="1"/>
    <w:bookmarkEnd w:id="2"/>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98364B">
        <w:rPr>
          <w:rFonts w:ascii="Arial" w:hAnsi="Arial" w:cs="Arial"/>
          <w:b/>
        </w:rPr>
        <w:t>Nokia Networks</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F60246">
        <w:rPr>
          <w:rFonts w:ascii="Arial" w:hAnsi="Arial" w:cs="Arial"/>
          <w:b/>
        </w:rPr>
        <w:t>Solution</w:t>
      </w:r>
      <w:r w:rsidR="005E7B2C">
        <w:rPr>
          <w:rFonts w:ascii="Arial" w:hAnsi="Arial" w:cs="Arial"/>
          <w:b/>
        </w:rPr>
        <w:t xml:space="preserve">: </w:t>
      </w:r>
      <w:r w:rsidR="006E3841">
        <w:rPr>
          <w:rFonts w:ascii="Arial" w:hAnsi="Arial" w:cs="Arial"/>
          <w:b/>
        </w:rPr>
        <w:t xml:space="preserve">Session Management and </w:t>
      </w:r>
      <w:r w:rsidR="00C5314B">
        <w:rPr>
          <w:rFonts w:ascii="Arial" w:hAnsi="Arial" w:cs="Arial"/>
          <w:b/>
        </w:rPr>
        <w:t>Enable (Re</w:t>
      </w:r>
      <w:r w:rsidR="00345BE7">
        <w:rPr>
          <w:rFonts w:ascii="Arial" w:hAnsi="Arial" w:cs="Arial"/>
          <w:b/>
        </w:rPr>
        <w:t>-</w:t>
      </w:r>
      <w:r w:rsidR="00C5314B">
        <w:rPr>
          <w:rFonts w:ascii="Arial" w:hAnsi="Arial" w:cs="Arial"/>
          <w:b/>
        </w:rPr>
        <w:t>)selection of Efficient User plane path</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r w:rsidR="006E3841">
        <w:rPr>
          <w:rFonts w:ascii="Arial" w:hAnsi="Arial" w:cs="Arial"/>
          <w:b/>
        </w:rPr>
        <w:t>.</w:t>
      </w:r>
      <w:r w:rsidR="008352D2">
        <w:rPr>
          <w:rFonts w:ascii="Arial" w:hAnsi="Arial" w:cs="Arial"/>
          <w:b/>
        </w:rPr>
        <w:t>4</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rsidR="00440983" w:rsidRPr="0098364B" w:rsidRDefault="00994B0D">
      <w:pPr>
        <w:rPr>
          <w:rFonts w:ascii="Arial" w:hAnsi="Arial" w:cs="Arial"/>
          <w:i/>
        </w:rPr>
      </w:pPr>
      <w:r>
        <w:rPr>
          <w:rFonts w:ascii="Arial" w:hAnsi="Arial" w:cs="Arial"/>
          <w:i/>
        </w:rPr>
        <w:t>Abstract of the contribution: This contribution propo</w:t>
      </w:r>
      <w:r w:rsidR="00C5314B">
        <w:rPr>
          <w:rFonts w:ascii="Arial" w:hAnsi="Arial" w:cs="Arial"/>
          <w:i/>
        </w:rPr>
        <w:t>se</w:t>
      </w:r>
      <w:r w:rsidR="00D10F2F">
        <w:rPr>
          <w:rFonts w:ascii="Arial" w:hAnsi="Arial" w:cs="Arial"/>
          <w:i/>
        </w:rPr>
        <w:t>s</w:t>
      </w:r>
      <w:r w:rsidR="00C5314B">
        <w:rPr>
          <w:rFonts w:ascii="Arial" w:hAnsi="Arial" w:cs="Arial"/>
          <w:i/>
        </w:rPr>
        <w:t xml:space="preserve"> to add a solution</w:t>
      </w:r>
      <w:r w:rsidR="008F1790">
        <w:rPr>
          <w:rFonts w:ascii="Arial" w:hAnsi="Arial" w:cs="Arial"/>
          <w:i/>
        </w:rPr>
        <w:t xml:space="preserve"> for user plane session framework</w:t>
      </w:r>
      <w:r w:rsidR="00C5314B">
        <w:rPr>
          <w:rFonts w:ascii="Arial" w:hAnsi="Arial" w:cs="Arial"/>
          <w:i/>
        </w:rPr>
        <w:t xml:space="preserve"> to enable (re-)selection of efficient user plane path.</w:t>
      </w:r>
    </w:p>
    <w:p w:rsidR="00440983" w:rsidRPr="0098364B" w:rsidRDefault="00994B0D" w:rsidP="00E53A8D">
      <w:pPr>
        <w:pStyle w:val="Heading1"/>
        <w:numPr>
          <w:ilvl w:val="0"/>
          <w:numId w:val="43"/>
        </w:numPr>
        <w:rPr>
          <w:lang w:eastAsia="zh-CN"/>
        </w:rPr>
      </w:pPr>
      <w:r>
        <w:rPr>
          <w:lang w:eastAsia="zh-CN"/>
        </w:rPr>
        <w:t>Introduction</w:t>
      </w:r>
    </w:p>
    <w:p w:rsidR="005E7B2C" w:rsidRPr="0098364B" w:rsidRDefault="005E7B2C" w:rsidP="00D10F2F">
      <w:r>
        <w:rPr>
          <w:rFonts w:eastAsia="Calibri"/>
          <w:color w:val="auto"/>
          <w:lang w:val="en-US" w:eastAsia="en-US"/>
        </w:rPr>
        <w:t xml:space="preserve">SA2 agreed </w:t>
      </w:r>
      <w:r w:rsidR="0005213D">
        <w:rPr>
          <w:rFonts w:eastAsia="Calibri"/>
          <w:color w:val="auto"/>
          <w:lang w:val="en-US" w:eastAsia="en-US"/>
        </w:rPr>
        <w:t xml:space="preserve">in [1] </w:t>
      </w:r>
      <w:r>
        <w:rPr>
          <w:rFonts w:eastAsia="Calibri"/>
          <w:color w:val="auto"/>
          <w:lang w:val="en-US" w:eastAsia="en-US"/>
        </w:rPr>
        <w:t xml:space="preserve">that </w:t>
      </w:r>
      <w:r w:rsidR="00345BE7">
        <w:t>NexGen architecture should enable (Re-)selection of efficient user plane path:</w:t>
      </w:r>
    </w:p>
    <w:p w:rsidR="001549E2" w:rsidRPr="00345BE7" w:rsidRDefault="00B221FB" w:rsidP="00D10F2F">
      <w:pPr>
        <w:rPr>
          <w:lang w:val="en-US"/>
        </w:rPr>
      </w:pPr>
      <w:r w:rsidRPr="00345BE7">
        <w:rPr>
          <w:lang w:val="en-US"/>
        </w:rPr>
        <w:t>Scenarios to be considered:</w:t>
      </w:r>
    </w:p>
    <w:p w:rsidR="001549E2" w:rsidRPr="00345BE7" w:rsidRDefault="00B221FB" w:rsidP="00D10F2F">
      <w:pPr>
        <w:rPr>
          <w:lang w:val="en-US"/>
        </w:rPr>
      </w:pPr>
      <w:r w:rsidRPr="00345BE7">
        <w:t xml:space="preserve">UE attached to the mobile network and communication peers outside of the mobile network (e.g. Internet hosts) </w:t>
      </w:r>
    </w:p>
    <w:p w:rsidR="001549E2" w:rsidRPr="00345BE7" w:rsidRDefault="00B221FB" w:rsidP="00D10F2F">
      <w:pPr>
        <w:rPr>
          <w:lang w:val="en-US"/>
        </w:rPr>
      </w:pPr>
      <w:r w:rsidRPr="00345BE7">
        <w:t xml:space="preserve">UE and a service hosting entity residing close to the edge (including the radio access network) </w:t>
      </w:r>
    </w:p>
    <w:p w:rsidR="001549E2" w:rsidRDefault="00B221FB" w:rsidP="00D10F2F">
      <w:r w:rsidRPr="00345BE7">
        <w:t>Minimising impact to the user experience (e.g. minimisation of interruption time and loss of packets) when changing the anchoring point for some or all packet data connections of a UE</w:t>
      </w:r>
      <w:r w:rsidR="003D73D7">
        <w:t>.</w:t>
      </w:r>
    </w:p>
    <w:p w:rsidR="003D73D7" w:rsidRPr="00345BE7" w:rsidRDefault="004A67C9" w:rsidP="00D10F2F">
      <w:pPr>
        <w:rPr>
          <w:lang w:val="en-US"/>
        </w:rPr>
      </w:pPr>
      <w:r>
        <w:t xml:space="preserve">This paper proposes </w:t>
      </w:r>
      <w:r w:rsidR="003D73D7">
        <w:t>PDU Session topology</w:t>
      </w:r>
      <w:r>
        <w:t xml:space="preserve">. </w:t>
      </w:r>
      <w:r w:rsidR="00CE230D">
        <w:t>This proposal assumes that</w:t>
      </w:r>
      <w:r>
        <w:t xml:space="preserve"> </w:t>
      </w:r>
      <w:r w:rsidR="00CE230D">
        <w:t xml:space="preserve">local switching support can be enabled for a certain </w:t>
      </w:r>
      <w:r>
        <w:t>PDU session</w:t>
      </w:r>
      <w:r w:rsidR="00CE230D">
        <w:t xml:space="preserve"> (thus it requires update to the existing definition of PDU session in TR 23.799)</w:t>
      </w:r>
      <w:r>
        <w:t>.</w:t>
      </w:r>
    </w:p>
    <w:p w:rsidR="005E7B2C" w:rsidRPr="002E2D5E" w:rsidRDefault="00345BE7" w:rsidP="00E53A8D">
      <w:pPr>
        <w:pStyle w:val="Heading1"/>
        <w:numPr>
          <w:ilvl w:val="0"/>
          <w:numId w:val="43"/>
        </w:numPr>
        <w:rPr>
          <w:lang w:eastAsia="es-ES"/>
        </w:rPr>
      </w:pPr>
      <w:r>
        <w:rPr>
          <w:lang w:eastAsia="es-ES"/>
        </w:rPr>
        <w:t xml:space="preserve">Limitations of </w:t>
      </w:r>
      <w:r w:rsidR="00286B4C">
        <w:rPr>
          <w:lang w:eastAsia="es-ES"/>
        </w:rPr>
        <w:t xml:space="preserve">the </w:t>
      </w:r>
      <w:r>
        <w:rPr>
          <w:lang w:eastAsia="es-ES"/>
        </w:rPr>
        <w:t>user plane path f</w:t>
      </w:r>
      <w:r w:rsidR="0005213D">
        <w:rPr>
          <w:lang w:eastAsia="es-ES"/>
        </w:rPr>
        <w:t>ramework</w:t>
      </w:r>
      <w:r>
        <w:rPr>
          <w:lang w:eastAsia="es-ES"/>
        </w:rPr>
        <w:t xml:space="preserve"> in 3G/4G</w:t>
      </w:r>
    </w:p>
    <w:p w:rsidR="00345BE7" w:rsidRDefault="00FA79C8" w:rsidP="00345BE7">
      <w:pPr>
        <w:pStyle w:val="00BodyText"/>
        <w:keepNext/>
        <w:spacing w:after="0"/>
      </w:pPr>
      <w:r w:rsidRPr="00FA79C8">
        <w:rPr>
          <w:noProof/>
        </w:rPr>
        <w:drawing>
          <wp:inline distT="0" distB="0" distL="0" distR="0" wp14:anchorId="40FE4FC9" wp14:editId="7747BBBE">
            <wp:extent cx="6120130" cy="24773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477362"/>
                    </a:xfrm>
                    <a:prstGeom prst="rect">
                      <a:avLst/>
                    </a:prstGeom>
                    <a:noFill/>
                    <a:ln>
                      <a:noFill/>
                    </a:ln>
                  </pic:spPr>
                </pic:pic>
              </a:graphicData>
            </a:graphic>
          </wp:inline>
        </w:drawing>
      </w:r>
    </w:p>
    <w:p w:rsidR="00345BE7" w:rsidRDefault="00345BE7" w:rsidP="00345BE7">
      <w:pPr>
        <w:pStyle w:val="Caption"/>
      </w:pPr>
      <w:bookmarkStart w:id="3" w:name="_Ref411523765"/>
      <w:bookmarkStart w:id="4" w:name="_Ref443910291"/>
      <w:r>
        <w:t xml:space="preserve">Figure </w:t>
      </w:r>
      <w:r w:rsidR="00933452">
        <w:fldChar w:fldCharType="begin"/>
      </w:r>
      <w:r>
        <w:instrText xml:space="preserve"> SEQ Figure \* ARABIC </w:instrText>
      </w:r>
      <w:r w:rsidR="00933452">
        <w:fldChar w:fldCharType="separate"/>
      </w:r>
      <w:r w:rsidR="00F72B7E">
        <w:rPr>
          <w:noProof/>
        </w:rPr>
        <w:t>1</w:t>
      </w:r>
      <w:r w:rsidR="00933452">
        <w:fldChar w:fldCharType="end"/>
      </w:r>
      <w:bookmarkEnd w:id="3"/>
      <w:r>
        <w:t>: Packet forwarding between UE and Packet Data Network in 3G/4G networks</w:t>
      </w:r>
      <w:bookmarkEnd w:id="4"/>
    </w:p>
    <w:p w:rsidR="005E7B2C" w:rsidRDefault="005E7B2C" w:rsidP="009B3F7D">
      <w:pPr>
        <w:rPr>
          <w:rFonts w:eastAsia="Calibri"/>
          <w:color w:val="auto"/>
          <w:lang w:eastAsia="en-US"/>
        </w:rPr>
      </w:pPr>
    </w:p>
    <w:p w:rsidR="00345BE7" w:rsidRDefault="001D67ED" w:rsidP="00D10F2F">
      <w:r>
        <w:fldChar w:fldCharType="begin"/>
      </w:r>
      <w:r>
        <w:instrText xml:space="preserve"> REF _Ref411523765 \h  \* MERGEFORMAT </w:instrText>
      </w:r>
      <w:r>
        <w:fldChar w:fldCharType="separate"/>
      </w:r>
      <w:r w:rsidR="00345BE7" w:rsidRPr="00345BE7">
        <w:t>Figure 1</w:t>
      </w:r>
      <w:r>
        <w:fldChar w:fldCharType="end"/>
      </w:r>
      <w:r w:rsidR="00345BE7" w:rsidRPr="00345BE7">
        <w:t xml:space="preserve"> shows simplified the principle on how packets are</w:t>
      </w:r>
      <w:r w:rsidR="003D73D7">
        <w:t xml:space="preserve"> </w:t>
      </w:r>
      <w:r w:rsidR="00345BE7" w:rsidRPr="00345BE7">
        <w:t>forwarded between</w:t>
      </w:r>
      <w:r w:rsidR="00293D64">
        <w:t xml:space="preserve"> user equipment (UE1 and UE2) </w:t>
      </w:r>
      <w:r w:rsidR="00345BE7" w:rsidRPr="00345BE7">
        <w:t xml:space="preserve">and a </w:t>
      </w:r>
      <w:r w:rsidR="00293D64">
        <w:t>packet data</w:t>
      </w:r>
      <w:r w:rsidR="00345BE7" w:rsidRPr="00345BE7">
        <w:t xml:space="preserve"> network </w:t>
      </w:r>
      <w:r w:rsidR="00293D64">
        <w:t xml:space="preserve">(PDN) </w:t>
      </w:r>
      <w:r w:rsidR="00345BE7" w:rsidRPr="00345BE7">
        <w:t xml:space="preserve">based on the current 3G/4G core network architecture. All </w:t>
      </w:r>
      <w:r w:rsidR="00345BE7">
        <w:t>packets</w:t>
      </w:r>
      <w:r w:rsidR="00345BE7" w:rsidRPr="00345BE7">
        <w:t xml:space="preserve"> </w:t>
      </w:r>
      <w:r w:rsidR="00293D64">
        <w:t xml:space="preserve">of a UE </w:t>
      </w:r>
      <w:r w:rsidR="00345BE7" w:rsidRPr="00345BE7">
        <w:t xml:space="preserve">are </w:t>
      </w:r>
      <w:r w:rsidR="006C4BC0">
        <w:t>sent</w:t>
      </w:r>
      <w:r w:rsidR="00345BE7" w:rsidRPr="00345BE7">
        <w:t xml:space="preserve"> along an end-to-end PDN connection between the user equipment</w:t>
      </w:r>
      <w:r w:rsidR="00293D64">
        <w:t xml:space="preserve"> </w:t>
      </w:r>
      <w:r w:rsidR="00345BE7" w:rsidRPr="00345BE7">
        <w:t xml:space="preserve">and </w:t>
      </w:r>
      <w:r w:rsidR="00293D64">
        <w:t>the IP anchor being the PDN gateway</w:t>
      </w:r>
      <w:r w:rsidR="002021EE">
        <w:t xml:space="preserve"> (P-GW)</w:t>
      </w:r>
      <w:r w:rsidR="00345BE7" w:rsidRPr="00345BE7">
        <w:t xml:space="preserve"> . The</w:t>
      </w:r>
      <w:r w:rsidR="00293D64">
        <w:t xml:space="preserve"> PDN gateway with the IP anchor</w:t>
      </w:r>
      <w:r w:rsidR="00345BE7" w:rsidRPr="00345BE7">
        <w:t xml:space="preserve"> is selected based on an access point name (APN) as specified by the UE or stored in the subscription profile. </w:t>
      </w:r>
    </w:p>
    <w:p w:rsidR="00293D64" w:rsidRDefault="00293D64" w:rsidP="00D10F2F">
      <w:r>
        <w:lastRenderedPageBreak/>
        <w:t xml:space="preserve">In </w:t>
      </w:r>
      <w:r w:rsidR="006C4BC0">
        <w:t>addition,</w:t>
      </w:r>
      <w:r>
        <w:t xml:space="preserve"> </w:t>
      </w:r>
      <w:r w:rsidR="00E42AA6">
        <w:t>the 3G/4G architecture defines a mobility anchor</w:t>
      </w:r>
      <w:r w:rsidR="006C4BC0">
        <w:t>,</w:t>
      </w:r>
      <w:r w:rsidR="00E42AA6">
        <w:t xml:space="preserve"> the serving gateway (S-GW). As long as a UE moves between access nodes with the same mobility anchor (serving gateway) the UE movement stays invisible to the PDN gateway with the IP anchor.</w:t>
      </w:r>
    </w:p>
    <w:p w:rsidR="00E42AA6" w:rsidRDefault="00E17AAE" w:rsidP="00D10F2F">
      <w:r>
        <w:t>IP service packets travel</w:t>
      </w:r>
      <w:r w:rsidR="00E42AA6">
        <w:t xml:space="preserve"> along a</w:t>
      </w:r>
      <w:r>
        <w:t xml:space="preserve"> path between UE, over the access node and the mobility anchor to the PDN gateway with the IP anchor. This path is independent from the actual target IP address of a service packet. Even if the target is a UE in the same</w:t>
      </w:r>
      <w:r w:rsidR="002021EE">
        <w:t xml:space="preserve"> cell</w:t>
      </w:r>
      <w:r>
        <w:t xml:space="preserve"> or </w:t>
      </w:r>
      <w:r w:rsidR="002021EE">
        <w:t xml:space="preserve">in </w:t>
      </w:r>
      <w:r>
        <w:t xml:space="preserve">a neighbour cell all packets are first forced to the IP anchor, which may be hundreds of kilometres away. The </w:t>
      </w:r>
      <w:r w:rsidR="002021EE">
        <w:t xml:space="preserve">user plane of the </w:t>
      </w:r>
      <w:r>
        <w:t>PDN gateway</w:t>
      </w:r>
      <w:r w:rsidR="002021EE">
        <w:t xml:space="preserve"> with the IP anchor is the first entity with a processing function being able to forward the packet according to its target IP address (IP routing). In </w:t>
      </w:r>
      <w:r w:rsidR="00933452">
        <w:fldChar w:fldCharType="begin"/>
      </w:r>
      <w:r w:rsidR="002021EE">
        <w:instrText xml:space="preserve"> REF _Ref411523765 \h </w:instrText>
      </w:r>
      <w:r w:rsidR="00D10F2F">
        <w:instrText xml:space="preserve"> \* MERGEFORMAT </w:instrText>
      </w:r>
      <w:r w:rsidR="00933452">
        <w:fldChar w:fldCharType="separate"/>
      </w:r>
      <w:r w:rsidR="002021EE">
        <w:t xml:space="preserve">Figure </w:t>
      </w:r>
      <w:r w:rsidR="002021EE">
        <w:rPr>
          <w:noProof/>
        </w:rPr>
        <w:t>1</w:t>
      </w:r>
      <w:r w:rsidR="00933452">
        <w:fldChar w:fldCharType="end"/>
      </w:r>
      <w:r w:rsidR="002021EE">
        <w:t xml:space="preserve"> this function is indicated as “user plane processing” function (UPP).</w:t>
      </w:r>
    </w:p>
    <w:p w:rsidR="00286B4C" w:rsidRPr="00345BE7" w:rsidRDefault="00286B4C" w:rsidP="00D10F2F">
      <w:r>
        <w:t>While this architecture fits nicely for use cases</w:t>
      </w:r>
      <w:r w:rsidR="006C4BC0">
        <w:t xml:space="preserve"> with central service edges</w:t>
      </w:r>
      <w:r>
        <w:t xml:space="preserve"> like Internet access or mobile broadband access to other packet data networks, it is obviously sub-optimal for more localized use case like vehicular ad-hoc networking or multi-edge content distribution scenarios with local service edges.</w:t>
      </w:r>
    </w:p>
    <w:p w:rsidR="00345BE7" w:rsidRDefault="00286B4C" w:rsidP="00D10F2F">
      <w:r>
        <w:t>In the latter context, i</w:t>
      </w:r>
      <w:r w:rsidR="00345BE7" w:rsidRPr="00345BE7">
        <w:t xml:space="preserve">t is important to note, that in 3G/4G networks it is not possible to access two service </w:t>
      </w:r>
      <w:r>
        <w:t>edges</w:t>
      </w:r>
      <w:r w:rsidR="00345BE7" w:rsidRPr="00345BE7">
        <w:t xml:space="preserve">, e.g. a local service </w:t>
      </w:r>
      <w:r>
        <w:t>edge</w:t>
      </w:r>
      <w:r w:rsidR="00345BE7" w:rsidRPr="00345BE7">
        <w:t xml:space="preserve"> and central service </w:t>
      </w:r>
      <w:r>
        <w:t>edge</w:t>
      </w:r>
      <w:r w:rsidR="00345BE7" w:rsidRPr="00345BE7">
        <w:t xml:space="preserve"> by using only a single PDN connection. It would only be possible by setting up two simultaneous PDN connections, each to one </w:t>
      </w:r>
      <w:r w:rsidR="006C4BC0">
        <w:t>edge</w:t>
      </w:r>
      <w:r w:rsidR="00345BE7" w:rsidRPr="00345BE7">
        <w:t xml:space="preserve">, which has the disadvantage of becoming visible to the UE, its operating system and application software. </w:t>
      </w:r>
      <w:r w:rsidR="006C4BC0">
        <w:t>This</w:t>
      </w:r>
      <w:r w:rsidR="00345BE7">
        <w:t xml:space="preserve"> is </w:t>
      </w:r>
      <w:r w:rsidR="006C4BC0">
        <w:t>because</w:t>
      </w:r>
      <w:r w:rsidR="00345BE7">
        <w:t xml:space="preserve"> the PDN connection model based Packet Switched Networking principles </w:t>
      </w:r>
      <w:r w:rsidR="00D10F2F">
        <w:t>are</w:t>
      </w:r>
      <w:r w:rsidR="00345BE7">
        <w:t xml:space="preserve"> inherited from 2G GPRS that makes each PDN connection to look like a different physical network interface from the IP stack point of view. </w:t>
      </w:r>
      <w:r w:rsidR="006C4BC0">
        <w:t>In addition,</w:t>
      </w:r>
      <w:r w:rsidR="00345BE7">
        <w:t xml:space="preserve"> a PDN connection has limitation to assign just one IPv4 address or IPv6 prefix i.e. IP multi-homing support is missing.</w:t>
      </w:r>
    </w:p>
    <w:p w:rsidR="000F46E4" w:rsidRDefault="006E1C99" w:rsidP="002E2D5E">
      <w:pPr>
        <w:rPr>
          <w:b/>
        </w:rPr>
      </w:pPr>
      <w:r w:rsidRPr="006C4BC0">
        <w:t xml:space="preserve">In a 5G </w:t>
      </w:r>
      <w:r>
        <w:t>architecture it is envisioned that user plane architecture should be specified in such a way that it enables support for efficient user plane path framework. Thus it is essential to consider support for local switching as part of PDU session framework.</w:t>
      </w:r>
    </w:p>
    <w:p w:rsidR="001549E2" w:rsidRDefault="002E2D5E" w:rsidP="00D10F2F">
      <w:pPr>
        <w:pStyle w:val="Heading1"/>
        <w:rPr>
          <w:lang w:val="en-US" w:eastAsia="es-ES"/>
        </w:rPr>
      </w:pPr>
      <w:r w:rsidRPr="00C6614A">
        <w:rPr>
          <w:lang w:val="en-US" w:eastAsia="es-ES"/>
        </w:rPr>
        <w:t>References:</w:t>
      </w:r>
    </w:p>
    <w:p w:rsidR="002E2D5E" w:rsidRPr="00F761A7" w:rsidRDefault="00F761A7" w:rsidP="00F761A7">
      <w:pPr>
        <w:pStyle w:val="ListParagraph"/>
        <w:numPr>
          <w:ilvl w:val="0"/>
          <w:numId w:val="32"/>
        </w:numPr>
        <w:spacing w:after="200" w:line="276" w:lineRule="auto"/>
        <w:rPr>
          <w:sz w:val="20"/>
          <w:szCs w:val="20"/>
        </w:rPr>
      </w:pPr>
      <w:bookmarkStart w:id="5" w:name="_Ref427319874"/>
      <w:r>
        <w:rPr>
          <w:sz w:val="20"/>
          <w:szCs w:val="20"/>
        </w:rPr>
        <w:t xml:space="preserve">TR 23.799 </w:t>
      </w:r>
      <w:r w:rsidRPr="00F761A7">
        <w:rPr>
          <w:sz w:val="20"/>
          <w:szCs w:val="20"/>
        </w:rPr>
        <w:t>V0.2.0 (2016-</w:t>
      </w:r>
      <w:r>
        <w:rPr>
          <w:sz w:val="20"/>
          <w:szCs w:val="20"/>
        </w:rPr>
        <w:t>0</w:t>
      </w:r>
      <w:r w:rsidRPr="00F761A7">
        <w:rPr>
          <w:sz w:val="20"/>
          <w:szCs w:val="20"/>
        </w:rPr>
        <w:t>2)</w:t>
      </w:r>
      <w:r>
        <w:rPr>
          <w:sz w:val="20"/>
          <w:szCs w:val="20"/>
        </w:rPr>
        <w:t xml:space="preserve">; </w:t>
      </w:r>
      <w:r w:rsidRPr="00F761A7">
        <w:rPr>
          <w:sz w:val="20"/>
          <w:szCs w:val="20"/>
        </w:rPr>
        <w:t>3rd Generation Partnership Project;</w:t>
      </w:r>
      <w:r>
        <w:rPr>
          <w:sz w:val="20"/>
          <w:szCs w:val="20"/>
        </w:rPr>
        <w:t xml:space="preserve"> </w:t>
      </w:r>
      <w:r w:rsidRPr="00F761A7">
        <w:rPr>
          <w:sz w:val="20"/>
          <w:szCs w:val="20"/>
        </w:rPr>
        <w:t>Technical Specification Group Services and System Aspects;</w:t>
      </w:r>
      <w:r>
        <w:rPr>
          <w:sz w:val="20"/>
          <w:szCs w:val="20"/>
        </w:rPr>
        <w:t xml:space="preserve"> </w:t>
      </w:r>
      <w:r w:rsidRPr="00F761A7">
        <w:rPr>
          <w:sz w:val="20"/>
          <w:szCs w:val="20"/>
        </w:rPr>
        <w:t>Study on Architecture for Next Generation System</w:t>
      </w:r>
      <w:r>
        <w:rPr>
          <w:sz w:val="20"/>
          <w:szCs w:val="20"/>
        </w:rPr>
        <w:t xml:space="preserve"> </w:t>
      </w:r>
      <w:r w:rsidRPr="00F761A7">
        <w:rPr>
          <w:sz w:val="20"/>
          <w:szCs w:val="20"/>
        </w:rPr>
        <w:t>(Release 14)</w:t>
      </w:r>
    </w:p>
    <w:bookmarkEnd w:id="5"/>
    <w:p w:rsidR="00587242" w:rsidRPr="0098364B" w:rsidRDefault="00587242" w:rsidP="00587242">
      <w:pPr>
        <w:pStyle w:val="Heading1"/>
        <w:rPr>
          <w:lang w:eastAsia="zh-CN"/>
        </w:rPr>
      </w:pPr>
      <w:r w:rsidRPr="00A606C9">
        <w:rPr>
          <w:lang w:eastAsia="zh-CN"/>
        </w:rPr>
        <w:t>Proposal</w:t>
      </w:r>
    </w:p>
    <w:p w:rsidR="00587242" w:rsidRPr="0098364B" w:rsidRDefault="00587242" w:rsidP="00587242">
      <w:pPr>
        <w:pStyle w:val="B1"/>
        <w:ind w:left="0" w:firstLine="0"/>
        <w:rPr>
          <w:lang w:eastAsia="zh-CN"/>
        </w:rPr>
      </w:pPr>
      <w:r w:rsidRPr="00A606C9">
        <w:rPr>
          <w:lang w:eastAsia="zh-CN"/>
        </w:rPr>
        <w:t xml:space="preserve">It is proposed to add the following </w:t>
      </w:r>
      <w:r>
        <w:rPr>
          <w:lang w:eastAsia="zh-CN"/>
        </w:rPr>
        <w:t xml:space="preserve">solution description </w:t>
      </w:r>
      <w:r w:rsidRPr="00A606C9">
        <w:rPr>
          <w:lang w:eastAsia="zh-CN"/>
        </w:rPr>
        <w:t>to the TR 23.799 “</w:t>
      </w:r>
      <w:r w:rsidRPr="00A606C9">
        <w:t>Study on Architecture for Next Generation System”</w:t>
      </w:r>
      <w:r w:rsidRPr="00A606C9">
        <w:rPr>
          <w:lang w:eastAsia="zh-CN"/>
        </w:rPr>
        <w:t>.</w:t>
      </w:r>
    </w:p>
    <w:p w:rsidR="00587242" w:rsidRPr="0098364B" w:rsidRDefault="00587242" w:rsidP="0058724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399511925"/>
      <w:bookmarkStart w:id="7" w:name="_Toc324232210"/>
      <w:bookmarkStart w:id="8" w:name="_Toc326248701"/>
      <w:bookmarkStart w:id="9" w:name="_Toc399743733"/>
      <w:bookmarkStart w:id="10" w:name="_Toc248905717"/>
      <w:r>
        <w:rPr>
          <w:rFonts w:ascii="Arial" w:hAnsi="Arial" w:cs="Arial"/>
          <w:color w:val="FF0000"/>
          <w:sz w:val="28"/>
          <w:szCs w:val="28"/>
          <w:lang w:val="en-US"/>
        </w:rPr>
        <w:t>* * * Start of changes * * * *</w:t>
      </w:r>
      <w:r w:rsidR="007D51D7">
        <w:rPr>
          <w:rFonts w:ascii="Arial" w:hAnsi="Arial" w:cs="Arial"/>
          <w:color w:val="FF0000"/>
          <w:sz w:val="28"/>
          <w:szCs w:val="28"/>
          <w:lang w:val="en-US"/>
        </w:rPr>
        <w:t xml:space="preserve"> (all new text)</w:t>
      </w:r>
    </w:p>
    <w:bookmarkEnd w:id="6"/>
    <w:bookmarkEnd w:id="7"/>
    <w:bookmarkEnd w:id="8"/>
    <w:bookmarkEnd w:id="9"/>
    <w:bookmarkEnd w:id="10"/>
    <w:p w:rsidR="00587242" w:rsidRPr="0098364B" w:rsidRDefault="00587242" w:rsidP="00587242">
      <w:pPr>
        <w:rPr>
          <w:rFonts w:ascii="Arial" w:hAnsi="Arial" w:cs="Arial"/>
        </w:rPr>
      </w:pPr>
    </w:p>
    <w:p w:rsidR="00587242" w:rsidRDefault="00587242" w:rsidP="00587242">
      <w:pPr>
        <w:pStyle w:val="Heading1"/>
        <w:rPr>
          <w:lang w:eastAsia="zh-CN"/>
        </w:rPr>
      </w:pPr>
      <w:r>
        <w:t>6</w:t>
      </w:r>
      <w:r w:rsidRPr="00235394">
        <w:tab/>
      </w:r>
      <w:r>
        <w:t>Solutions</w:t>
      </w:r>
    </w:p>
    <w:p w:rsidR="00587242" w:rsidRPr="00B8102E" w:rsidRDefault="00587242" w:rsidP="00587242">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rsidR="00587242" w:rsidRDefault="00587242" w:rsidP="00587242">
      <w:pPr>
        <w:pStyle w:val="Heading2"/>
      </w:pPr>
      <w:r>
        <w:t>6</w:t>
      </w:r>
      <w:r w:rsidRPr="00235394">
        <w:t>.</w:t>
      </w:r>
      <w:r>
        <w:t>x</w:t>
      </w:r>
      <w:r w:rsidRPr="00235394">
        <w:tab/>
      </w:r>
      <w:r>
        <w:t xml:space="preserve">Solution principles </w:t>
      </w:r>
      <w:r w:rsidR="006E1C99">
        <w:t xml:space="preserve">for User plane Session </w:t>
      </w:r>
      <w:r>
        <w:t>to enable (Re-)selection of efficient user plane path</w:t>
      </w:r>
    </w:p>
    <w:p w:rsidR="006E1C99" w:rsidRPr="00B8102E" w:rsidRDefault="006E1C99" w:rsidP="001A259D">
      <w:r>
        <w:t>This solution applies to key issue 4 (Session Management) and key issue 5 (enable (re-)selection of efficient user plane path).</w:t>
      </w:r>
    </w:p>
    <w:p w:rsidR="00587242" w:rsidRDefault="00587242" w:rsidP="00587242">
      <w:pPr>
        <w:pStyle w:val="Heading3"/>
      </w:pPr>
      <w:bookmarkStart w:id="11" w:name="_Toc442563437"/>
      <w:bookmarkStart w:id="12" w:name="OLE_LINK6"/>
      <w:bookmarkStart w:id="13" w:name="OLE_LINK7"/>
      <w:r>
        <w:t>6</w:t>
      </w:r>
      <w:r w:rsidRPr="00235394">
        <w:t>.</w:t>
      </w:r>
      <w:r>
        <w:t>x.1</w:t>
      </w:r>
      <w:r w:rsidRPr="00235394">
        <w:tab/>
      </w:r>
      <w:r>
        <w:t>Architecture</w:t>
      </w:r>
      <w:r w:rsidRPr="001D6A1F">
        <w:t xml:space="preserve"> description</w:t>
      </w:r>
      <w:bookmarkEnd w:id="11"/>
      <w:r w:rsidRPr="001D6A1F">
        <w:t xml:space="preserve"> </w:t>
      </w:r>
    </w:p>
    <w:bookmarkEnd w:id="12"/>
    <w:bookmarkEnd w:id="13"/>
    <w:p w:rsidR="006E1C99" w:rsidRDefault="006E1C99" w:rsidP="006E1C99">
      <w:r w:rsidRPr="006C4BC0">
        <w:t xml:space="preserve">In a 5G </w:t>
      </w:r>
      <w:r>
        <w:t>architecture it is envisioned that user plane architecture should be specified in such a way that it enables support for efficient user plane path framework. Thus</w:t>
      </w:r>
      <w:r w:rsidR="00BE297E">
        <w:t>,</w:t>
      </w:r>
      <w:r>
        <w:t xml:space="preserve"> it is essential to consider support for local switching as part of PDU session framework.</w:t>
      </w:r>
      <w:bookmarkStart w:id="14" w:name="_GoBack"/>
      <w:bookmarkEnd w:id="14"/>
    </w:p>
    <w:p w:rsidR="006E1C99" w:rsidRDefault="006E1C99" w:rsidP="006E1C99">
      <w:pPr>
        <w:jc w:val="center"/>
      </w:pPr>
      <w:r>
        <w:rPr>
          <w:noProof/>
          <w:lang w:val="en-US" w:eastAsia="en-US"/>
        </w:rPr>
        <w:lastRenderedPageBreak/>
        <w:drawing>
          <wp:inline distT="0" distB="0" distL="0" distR="0" wp14:anchorId="05C08DBC" wp14:editId="470A1CF8">
            <wp:extent cx="5587479" cy="2343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8406" cy="2347732"/>
                    </a:xfrm>
                    <a:prstGeom prst="rect">
                      <a:avLst/>
                    </a:prstGeom>
                    <a:noFill/>
                  </pic:spPr>
                </pic:pic>
              </a:graphicData>
            </a:graphic>
          </wp:inline>
        </w:drawing>
      </w:r>
    </w:p>
    <w:p w:rsidR="006E1C99" w:rsidRDefault="006E1C99" w:rsidP="006E1C99">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I</w:t>
      </w:r>
      <w:r w:rsidRPr="006C4BC0">
        <w:t xml:space="preserve">nter UE traffic forwarded by user plane </w:t>
      </w:r>
      <w:r>
        <w:t xml:space="preserve">processing </w:t>
      </w:r>
      <w:r w:rsidRPr="006C4BC0">
        <w:t>function</w:t>
      </w:r>
      <w:r>
        <w:t>s</w:t>
      </w:r>
      <w:r w:rsidRPr="006C4BC0">
        <w:t xml:space="preserve"> located at mobility anchor</w:t>
      </w:r>
      <w:r>
        <w:t>s.</w:t>
      </w:r>
    </w:p>
    <w:p w:rsidR="006E1C99" w:rsidRDefault="006E1C99" w:rsidP="006E1C99"/>
    <w:p w:rsidR="006E1C99" w:rsidRDefault="006E1C99" w:rsidP="006E1C99">
      <w:r>
        <w:fldChar w:fldCharType="begin"/>
      </w:r>
      <w:r>
        <w:instrText xml:space="preserve"> REF _Ref443912183 \h </w:instrText>
      </w:r>
      <w:r>
        <w:fldChar w:fldCharType="separate"/>
      </w:r>
      <w:r>
        <w:t xml:space="preserve">Figure </w:t>
      </w:r>
      <w:r>
        <w:rPr>
          <w:noProof/>
        </w:rPr>
        <w:t>2</w:t>
      </w:r>
      <w:r>
        <w:fldChar w:fldCharType="end"/>
      </w:r>
      <w:r>
        <w:t xml:space="preserve"> shows a scenario with UPGW residing near the mobility anchors. This allows to shortcut the forwarding for traffic going directly between UE 1, UE 2 and UE 3. For this purpose, distributed service forwarding state needs to be synchronized across the UPGW functions, when a mobility anchor of a UE changes. </w:t>
      </w:r>
    </w:p>
    <w:p w:rsidR="006E1C99" w:rsidRDefault="006E1C99" w:rsidP="006E1C99">
      <w:pPr>
        <w:keepNext/>
      </w:pPr>
      <w:r>
        <w:rPr>
          <w:noProof/>
          <w:lang w:val="en-US" w:eastAsia="en-US"/>
        </w:rPr>
        <w:drawing>
          <wp:inline distT="0" distB="0" distL="0" distR="0" wp14:anchorId="6A062E5B" wp14:editId="0A2D5837">
            <wp:extent cx="5423943" cy="13481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108" cy="1349389"/>
                    </a:xfrm>
                    <a:prstGeom prst="rect">
                      <a:avLst/>
                    </a:prstGeom>
                    <a:noFill/>
                  </pic:spPr>
                </pic:pic>
              </a:graphicData>
            </a:graphic>
          </wp:inline>
        </w:drawing>
      </w:r>
    </w:p>
    <w:p w:rsidR="006E1C99" w:rsidRDefault="006E1C99" w:rsidP="006E1C99">
      <w:pPr>
        <w:pStyle w:val="Caption"/>
        <w:jc w:val="left"/>
      </w:pPr>
      <w:r>
        <w:t xml:space="preserve">Figure </w:t>
      </w:r>
      <w:r>
        <w:fldChar w:fldCharType="begin"/>
      </w:r>
      <w:r>
        <w:instrText xml:space="preserve"> SEQ Figure \* ARABIC </w:instrText>
      </w:r>
      <w:r>
        <w:fldChar w:fldCharType="separate"/>
      </w:r>
      <w:r>
        <w:rPr>
          <w:noProof/>
        </w:rPr>
        <w:t>3</w:t>
      </w:r>
      <w:r>
        <w:fldChar w:fldCharType="end"/>
      </w:r>
      <w:r>
        <w:t>: Multi- edge scenario with ‘break-out’ to local service edge, while IP anchor stays central.</w:t>
      </w:r>
    </w:p>
    <w:p w:rsidR="006E1C99" w:rsidRDefault="006E1C99" w:rsidP="006E1C99"/>
    <w:p w:rsidR="006E1C99" w:rsidRPr="006C4BC0" w:rsidRDefault="006E1C99" w:rsidP="006E1C99">
      <w:r>
        <w:fldChar w:fldCharType="begin"/>
      </w:r>
      <w:r>
        <w:instrText xml:space="preserve"> REF _Ref443918808 \h </w:instrText>
      </w:r>
      <w:r>
        <w:fldChar w:fldCharType="separate"/>
      </w:r>
      <w:r>
        <w:t xml:space="preserve">Figure </w:t>
      </w:r>
      <w:r>
        <w:rPr>
          <w:noProof/>
        </w:rPr>
        <w:t>3</w:t>
      </w:r>
      <w:r>
        <w:fldChar w:fldCharType="end"/>
      </w:r>
      <w:r w:rsidRPr="006C4BC0">
        <w:t xml:space="preserve"> </w:t>
      </w:r>
      <w:r>
        <w:t xml:space="preserve">shows a multi-edge </w:t>
      </w:r>
      <w:r w:rsidRPr="006C4BC0">
        <w:t xml:space="preserve">use case with a central edge site for accessing the Internet and with a local </w:t>
      </w:r>
      <w:r>
        <w:t>AS</w:t>
      </w:r>
      <w:r w:rsidRPr="006C4BC0">
        <w:t xml:space="preserve"> </w:t>
      </w:r>
      <w:r>
        <w:t xml:space="preserve">(e.g. </w:t>
      </w:r>
      <w:r w:rsidRPr="006C4BC0">
        <w:t>for accessing the cached content of a content distribution network (CDN)</w:t>
      </w:r>
      <w:r>
        <w:t>)</w:t>
      </w:r>
      <w:r w:rsidRPr="006C4BC0">
        <w:t xml:space="preserve">. The service topology involves now three </w:t>
      </w:r>
      <w:r>
        <w:t>UPGW</w:t>
      </w:r>
      <w:r w:rsidRPr="006C4BC0">
        <w:t xml:space="preserve"> </w:t>
      </w:r>
      <w:r>
        <w:t>functions</w:t>
      </w:r>
      <w:r w:rsidRPr="006C4BC0">
        <w:t xml:space="preserve">. The </w:t>
      </w:r>
      <w:r>
        <w:t xml:space="preserve">UPGW functions </w:t>
      </w:r>
      <w:r w:rsidRPr="006C4BC0">
        <w:t xml:space="preserve">in both edge sites need to know about </w:t>
      </w:r>
      <w:r>
        <w:t xml:space="preserve">the mobility anchor 1 to </w:t>
      </w:r>
      <w:r w:rsidRPr="006C4BC0">
        <w:t xml:space="preserve">forward service frames </w:t>
      </w:r>
      <w:r>
        <w:t xml:space="preserve">based on the IP address to </w:t>
      </w:r>
      <w:r w:rsidRPr="006C4BC0">
        <w:t>UE</w:t>
      </w:r>
      <w:r>
        <w:t xml:space="preserve"> 1</w:t>
      </w:r>
      <w:r w:rsidRPr="006C4BC0">
        <w:t xml:space="preserve">. </w:t>
      </w:r>
      <w:r>
        <w:t xml:space="preserve">Additionally a UPGW function at the mobility anchor 1 </w:t>
      </w:r>
      <w:r w:rsidRPr="006C4BC0">
        <w:t>examines the destination IP address of service frames sent by UE</w:t>
      </w:r>
      <w:r>
        <w:t xml:space="preserve"> 1</w:t>
      </w:r>
      <w:r w:rsidRPr="006C4BC0">
        <w:t xml:space="preserve"> and decides based on the destination address whether to </w:t>
      </w:r>
      <w:r>
        <w:t xml:space="preserve">transmit the service frame (i.e. </w:t>
      </w:r>
      <w:r w:rsidRPr="006C4BC0">
        <w:t xml:space="preserve">encapsulate the service frame with a </w:t>
      </w:r>
      <w:r>
        <w:t>tunnel</w:t>
      </w:r>
      <w:r w:rsidRPr="006C4BC0">
        <w:t xml:space="preserve"> header addressed</w:t>
      </w:r>
      <w:r>
        <w:t>)</w:t>
      </w:r>
      <w:r w:rsidRPr="006C4BC0">
        <w:t xml:space="preserve"> to </w:t>
      </w:r>
      <w:r>
        <w:t>the central IP anchor or to the local service edge (AS).</w:t>
      </w:r>
    </w:p>
    <w:p w:rsidR="006E1C99" w:rsidRPr="006C4BC0" w:rsidRDefault="006E1C99" w:rsidP="006E1C99">
      <w:r w:rsidRPr="006C4BC0">
        <w:t xml:space="preserve">Note, that in scenario of </w:t>
      </w:r>
      <w:r>
        <w:fldChar w:fldCharType="begin"/>
      </w:r>
      <w:r>
        <w:instrText xml:space="preserve"> REF _Ref443912183 \h </w:instrText>
      </w:r>
      <w:r>
        <w:fldChar w:fldCharType="separate"/>
      </w:r>
      <w:r>
        <w:t xml:space="preserve">Figure </w:t>
      </w:r>
      <w:r>
        <w:rPr>
          <w:noProof/>
        </w:rPr>
        <w:t>2</w:t>
      </w:r>
      <w:r>
        <w:fldChar w:fldCharType="end"/>
      </w:r>
      <w:r>
        <w:t xml:space="preserve"> and </w:t>
      </w:r>
      <w:r>
        <w:fldChar w:fldCharType="begin"/>
      </w:r>
      <w:r>
        <w:instrText xml:space="preserve"> REF _Ref443918808 \h </w:instrText>
      </w:r>
      <w:r>
        <w:fldChar w:fldCharType="separate"/>
      </w:r>
      <w:r>
        <w:t xml:space="preserve">Figure </w:t>
      </w:r>
      <w:r>
        <w:rPr>
          <w:noProof/>
        </w:rPr>
        <w:t>3</w:t>
      </w:r>
      <w:r>
        <w:fldChar w:fldCharType="end"/>
      </w:r>
      <w:r w:rsidRPr="006C4BC0">
        <w:fldChar w:fldCharType="begin"/>
      </w:r>
      <w:r w:rsidRPr="006C4BC0">
        <w:instrText xml:space="preserve"> REF _Ref411526393 \h  \* MERGEFORMAT </w:instrText>
      </w:r>
      <w:r w:rsidRPr="006C4BC0">
        <w:fldChar w:fldCharType="end"/>
      </w:r>
      <w:r w:rsidRPr="006C4BC0">
        <w:t xml:space="preserve"> only one host IP address </w:t>
      </w:r>
      <w:r>
        <w:t xml:space="preserve">that is centrally anchored </w:t>
      </w:r>
      <w:r w:rsidRPr="006C4BC0">
        <w:t>has</w:t>
      </w:r>
      <w:r>
        <w:t xml:space="preserve"> been assigned to the UE (as opposed to UE multi-homed to two different anchors).</w:t>
      </w:r>
    </w:p>
    <w:p w:rsidR="006E1C99" w:rsidRDefault="006E1C99" w:rsidP="006E1C99">
      <w:pPr>
        <w:pStyle w:val="00BodyText"/>
        <w:keepNext/>
        <w:spacing w:after="0"/>
        <w:jc w:val="center"/>
        <w:rPr>
          <w:rFonts w:ascii="Times New Roman" w:hAnsi="Times New Roman"/>
          <w:sz w:val="20"/>
        </w:rPr>
      </w:pPr>
      <w:r>
        <w:rPr>
          <w:rFonts w:ascii="Times New Roman" w:hAnsi="Times New Roman"/>
          <w:noProof/>
          <w:sz w:val="20"/>
        </w:rPr>
        <w:lastRenderedPageBreak/>
        <w:drawing>
          <wp:inline distT="0" distB="0" distL="0" distR="0" wp14:anchorId="089DF2D3" wp14:editId="2E794F03">
            <wp:extent cx="4615127" cy="23933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037" cy="2394824"/>
                    </a:xfrm>
                    <a:prstGeom prst="rect">
                      <a:avLst/>
                    </a:prstGeom>
                    <a:noFill/>
                  </pic:spPr>
                </pic:pic>
              </a:graphicData>
            </a:graphic>
          </wp:inline>
        </w:drawing>
      </w:r>
    </w:p>
    <w:p w:rsidR="006E1C99" w:rsidRPr="006C4BC0" w:rsidRDefault="006E1C99" w:rsidP="006E1C99">
      <w:pPr>
        <w:pStyle w:val="00BodyText"/>
        <w:keepNext/>
        <w:spacing w:after="0"/>
        <w:rPr>
          <w:rFonts w:ascii="Times New Roman" w:hAnsi="Times New Roman"/>
          <w:sz w:val="20"/>
        </w:rPr>
      </w:pPr>
    </w:p>
    <w:p w:rsidR="006E1C99" w:rsidRPr="006C4BC0" w:rsidRDefault="006E1C99" w:rsidP="006E1C99">
      <w:pPr>
        <w:pStyle w:val="Caption"/>
        <w:rPr>
          <w:rFonts w:ascii="Times New Roman" w:hAnsi="Times New Roman"/>
        </w:rPr>
      </w:pPr>
      <w:r w:rsidRPr="006C4BC0">
        <w:rPr>
          <w:rFonts w:ascii="Times New Roman" w:hAnsi="Times New Roman"/>
        </w:rPr>
        <w:t xml:space="preserve">Figure </w:t>
      </w:r>
      <w:r w:rsidRPr="006C4BC0">
        <w:rPr>
          <w:rFonts w:ascii="Times New Roman" w:hAnsi="Times New Roman"/>
        </w:rPr>
        <w:fldChar w:fldCharType="begin"/>
      </w:r>
      <w:r w:rsidRPr="006C4BC0">
        <w:rPr>
          <w:rFonts w:ascii="Times New Roman" w:hAnsi="Times New Roman"/>
        </w:rPr>
        <w:instrText xml:space="preserve"> SEQ Figure \* ARABIC </w:instrText>
      </w:r>
      <w:r w:rsidRPr="006C4BC0">
        <w:rPr>
          <w:rFonts w:ascii="Times New Roman" w:hAnsi="Times New Roman"/>
        </w:rPr>
        <w:fldChar w:fldCharType="separate"/>
      </w:r>
      <w:r>
        <w:rPr>
          <w:rFonts w:ascii="Times New Roman" w:hAnsi="Times New Roman"/>
          <w:noProof/>
        </w:rPr>
        <w:t>4</w:t>
      </w:r>
      <w:r w:rsidRPr="006C4BC0">
        <w:rPr>
          <w:rFonts w:ascii="Times New Roman" w:hAnsi="Times New Roman"/>
        </w:rPr>
        <w:fldChar w:fldCharType="end"/>
      </w:r>
      <w:r>
        <w:rPr>
          <w:rFonts w:ascii="Times New Roman" w:hAnsi="Times New Roman"/>
        </w:rPr>
        <w:t xml:space="preserve">: A </w:t>
      </w:r>
      <w:r w:rsidRPr="006C4BC0">
        <w:rPr>
          <w:rFonts w:ascii="Times New Roman" w:hAnsi="Times New Roman"/>
        </w:rPr>
        <w:t xml:space="preserve">service topology with three </w:t>
      </w:r>
      <w:r>
        <w:rPr>
          <w:rFonts w:ascii="Times New Roman" w:hAnsi="Times New Roman"/>
        </w:rPr>
        <w:t>UPP functions that is only involving UEs, but no PDN gateway</w:t>
      </w:r>
    </w:p>
    <w:p w:rsidR="006E1C99" w:rsidRPr="006C4BC0" w:rsidRDefault="006E1C99" w:rsidP="006E1C99">
      <w:pPr>
        <w:pStyle w:val="00BodyText"/>
        <w:spacing w:after="0"/>
        <w:rPr>
          <w:rFonts w:ascii="Times New Roman" w:hAnsi="Times New Roman"/>
          <w:sz w:val="20"/>
          <w:lang w:val="en-GB"/>
        </w:rPr>
      </w:pPr>
    </w:p>
    <w:p w:rsidR="006E1C99" w:rsidRDefault="006E1C99" w:rsidP="006E1C99">
      <w:r w:rsidRPr="006C4BC0">
        <w:fldChar w:fldCharType="begin"/>
      </w:r>
      <w:r w:rsidRPr="006C4BC0">
        <w:instrText xml:space="preserve"> REF _Ref411528066 \h  \* MERGEFORMAT </w:instrText>
      </w:r>
      <w:r w:rsidRPr="006C4BC0">
        <w:fldChar w:fldCharType="end"/>
      </w:r>
      <w:r>
        <w:fldChar w:fldCharType="begin"/>
      </w:r>
      <w:r>
        <w:instrText xml:space="preserve"> REF _Ref411528066 \h </w:instrText>
      </w:r>
      <w:r>
        <w:fldChar w:fldCharType="separate"/>
      </w:r>
      <w:r w:rsidRPr="006C4BC0">
        <w:t xml:space="preserve">Figure </w:t>
      </w:r>
      <w:r>
        <w:rPr>
          <w:noProof/>
        </w:rPr>
        <w:t>4</w:t>
      </w:r>
      <w:r>
        <w:fldChar w:fldCharType="end"/>
      </w:r>
      <w:r>
        <w:t xml:space="preserve"> </w:t>
      </w:r>
      <w:r w:rsidRPr="006C4BC0">
        <w:t>shows another service topology also with three tunnel end</w:t>
      </w:r>
      <w:r>
        <w:t xml:space="preserve"> </w:t>
      </w:r>
      <w:r w:rsidRPr="006C4BC0">
        <w:t>points, but now only involving UE and no</w:t>
      </w:r>
      <w:r>
        <w:t xml:space="preserve"> DN</w:t>
      </w:r>
      <w:r w:rsidRPr="006C4BC0">
        <w:t xml:space="preserve">. In this use case the three UEs can communicate directly with each other without involving a </w:t>
      </w:r>
      <w:r>
        <w:t>UPGW @ IP anchor</w:t>
      </w:r>
      <w:r w:rsidRPr="006C4BC0">
        <w:t xml:space="preserve">. The </w:t>
      </w:r>
      <w:r>
        <w:t>UPGW</w:t>
      </w:r>
      <w:r w:rsidRPr="006C4BC0">
        <w:t xml:space="preserve"> function in </w:t>
      </w:r>
      <w:r>
        <w:t>the mobility anchor needs to</w:t>
      </w:r>
      <w:r w:rsidRPr="006C4BC0">
        <w:t xml:space="preserve"> select the appropriate </w:t>
      </w:r>
      <w:r>
        <w:t xml:space="preserve">mobility anchor </w:t>
      </w:r>
      <w:r w:rsidRPr="006C4BC0">
        <w:t xml:space="preserve">depending on the destination IP address (host route) of a service frame received from the UE. Service topologies like shown in </w:t>
      </w:r>
      <w:r>
        <w:fldChar w:fldCharType="begin"/>
      </w:r>
      <w:r>
        <w:instrText xml:space="preserve"> REF _Ref411528066 \h </w:instrText>
      </w:r>
      <w:r>
        <w:fldChar w:fldCharType="separate"/>
      </w:r>
      <w:r w:rsidRPr="006C4BC0">
        <w:t xml:space="preserve">Figure </w:t>
      </w:r>
      <w:r>
        <w:rPr>
          <w:noProof/>
        </w:rPr>
        <w:t>4</w:t>
      </w:r>
      <w:r>
        <w:fldChar w:fldCharType="end"/>
      </w:r>
      <w:r>
        <w:t xml:space="preserve"> </w:t>
      </w:r>
      <w:r w:rsidRPr="006C4BC0">
        <w:t xml:space="preserve">are </w:t>
      </w:r>
      <w:r>
        <w:t>advantageous</w:t>
      </w:r>
      <w:r w:rsidRPr="006C4BC0">
        <w:t xml:space="preserve"> to support low latency virtual</w:t>
      </w:r>
      <w:r>
        <w:t xml:space="preserve"> private network services </w:t>
      </w:r>
      <w:r w:rsidRPr="006C4BC0">
        <w:t xml:space="preserve">as </w:t>
      </w:r>
      <w:r>
        <w:t xml:space="preserve">in </w:t>
      </w:r>
      <w:r w:rsidRPr="006C4BC0">
        <w:t xml:space="preserve">vehicular ad hoc networking (VANET). </w:t>
      </w:r>
    </w:p>
    <w:p w:rsidR="006E1C99" w:rsidRDefault="006E1C99" w:rsidP="006E1C99">
      <w:r>
        <w:t xml:space="preserve">Note, that </w:t>
      </w:r>
      <w:r>
        <w:fldChar w:fldCharType="begin"/>
      </w:r>
      <w:r>
        <w:instrText xml:space="preserve"> REF _Ref411528066 \h </w:instrText>
      </w:r>
      <w:r>
        <w:fldChar w:fldCharType="separate"/>
      </w:r>
      <w:r w:rsidRPr="006C4BC0">
        <w:t xml:space="preserve">Figure </w:t>
      </w:r>
      <w:r>
        <w:rPr>
          <w:noProof/>
        </w:rPr>
        <w:t>4</w:t>
      </w:r>
      <w:r>
        <w:fldChar w:fldCharType="end"/>
      </w:r>
      <w:r>
        <w:t xml:space="preserve"> shows on the bottom for UE3 the special case that the mobility anchor is collocated with the access node. Although use cases may be rare which require this extreme distribution of service functions, the user plane architecture covers also this case.</w:t>
      </w:r>
    </w:p>
    <w:p w:rsidR="006E1C99" w:rsidRPr="006C4BC0" w:rsidRDefault="006E1C99" w:rsidP="006E1C99">
      <w:pPr>
        <w:pStyle w:val="NO"/>
      </w:pPr>
      <w:r>
        <w:t>Note: the assumption is that the routing between UE1 and UE2 (without involving UPGW @ IPGW) is enabled based on operator policies (i.e. no firewall based restriction exists for such communication).</w:t>
      </w:r>
    </w:p>
    <w:p w:rsidR="00587242" w:rsidRDefault="006E1C99" w:rsidP="007F1780">
      <w:r>
        <w:t xml:space="preserve">The use cases in Figure 2, </w:t>
      </w:r>
      <w:r w:rsidRPr="00D10F2F">
        <w:t xml:space="preserve">Figure 3 </w:t>
      </w:r>
      <w:r>
        <w:t xml:space="preserve">and </w:t>
      </w:r>
      <w:r>
        <w:fldChar w:fldCharType="begin"/>
      </w:r>
      <w:r>
        <w:instrText xml:space="preserve"> REF _Ref411528066 \h </w:instrText>
      </w:r>
      <w:r>
        <w:fldChar w:fldCharType="separate"/>
      </w:r>
      <w:r w:rsidRPr="006C4BC0">
        <w:t xml:space="preserve">Figure </w:t>
      </w:r>
      <w:r>
        <w:rPr>
          <w:noProof/>
        </w:rPr>
        <w:t>4</w:t>
      </w:r>
      <w:r>
        <w:fldChar w:fldCharType="end"/>
      </w:r>
      <w:r>
        <w:t xml:space="preserve"> </w:t>
      </w:r>
      <w:r w:rsidRPr="00D10F2F">
        <w:t xml:space="preserve">are examples, which show that service processing functions like IP forwarding functions, </w:t>
      </w:r>
      <w:r>
        <w:t xml:space="preserve">can </w:t>
      </w:r>
      <w:r w:rsidRPr="00D10F2F">
        <w:t>lead to a more efficient solution when placed closer to the access than in a tradition</w:t>
      </w:r>
      <w:r>
        <w:t>al Internet access scenario where the</w:t>
      </w:r>
      <w:r w:rsidRPr="00D10F2F">
        <w:t xml:space="preserve"> service processing </w:t>
      </w:r>
      <w:r>
        <w:t xml:space="preserve">resides </w:t>
      </w:r>
      <w:r w:rsidRPr="00D10F2F">
        <w:t xml:space="preserve">in a </w:t>
      </w:r>
      <w:r>
        <w:t>central UPGW.</w:t>
      </w:r>
      <w:r w:rsidRPr="00D10F2F">
        <w:t xml:space="preserve"> </w:t>
      </w:r>
      <w:r>
        <w:t>For local and regional services, the distribution of service processing functions helps to minimize</w:t>
      </w:r>
      <w:r w:rsidRPr="003B2BA8">
        <w:t xml:space="preserve"> the number of network </w:t>
      </w:r>
      <w:r>
        <w:t>functions</w:t>
      </w:r>
      <w:r w:rsidRPr="003B2BA8">
        <w:t xml:space="preserve"> (hops) a user plane service frame needs to pass</w:t>
      </w:r>
      <w:r>
        <w:t>, thus reducing latency while at the same time increasing</w:t>
      </w:r>
      <w:r w:rsidRPr="003B2BA8">
        <w:t xml:space="preserve"> network efficiency and service availability.</w:t>
      </w:r>
      <w:r>
        <w:t xml:space="preserve"> </w:t>
      </w: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CD" w:rsidRDefault="008D68CD">
      <w:r>
        <w:separator/>
      </w:r>
    </w:p>
    <w:p w:rsidR="008D68CD" w:rsidRDefault="008D68CD"/>
  </w:endnote>
  <w:endnote w:type="continuationSeparator" w:id="0">
    <w:p w:rsidR="008D68CD" w:rsidRDefault="008D68CD">
      <w:r>
        <w:continuationSeparator/>
      </w:r>
    </w:p>
    <w:p w:rsidR="008D68CD" w:rsidRDefault="008D6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AF5" w:rsidRDefault="00321AF5">
    <w:pPr>
      <w:framePr w:w="646" w:h="244" w:hRule="exact" w:wrap="around" w:vAnchor="text" w:hAnchor="margin" w:y="-5"/>
      <w:rPr>
        <w:rFonts w:ascii="Arial" w:hAnsi="Arial" w:cs="Arial"/>
        <w:b/>
        <w:bCs/>
        <w:i/>
        <w:iCs/>
        <w:sz w:val="18"/>
      </w:rPr>
    </w:pPr>
    <w:r>
      <w:rPr>
        <w:rFonts w:ascii="Arial" w:hAnsi="Arial" w:cs="Arial"/>
        <w:b/>
        <w:bCs/>
        <w:i/>
        <w:iCs/>
        <w:sz w:val="18"/>
      </w:rPr>
      <w:t>3GPP</w:t>
    </w:r>
  </w:p>
  <w:p w:rsidR="00321AF5" w:rsidRDefault="00321AF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21AF5" w:rsidRDefault="00321A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CD" w:rsidRDefault="008D68CD">
      <w:r>
        <w:separator/>
      </w:r>
    </w:p>
    <w:p w:rsidR="008D68CD" w:rsidRDefault="008D68CD"/>
  </w:footnote>
  <w:footnote w:type="continuationSeparator" w:id="0">
    <w:p w:rsidR="008D68CD" w:rsidRDefault="008D68CD">
      <w:r>
        <w:continuationSeparator/>
      </w:r>
    </w:p>
    <w:p w:rsidR="008D68CD" w:rsidRDefault="008D68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AF5" w:rsidRDefault="00321AF5"/>
  <w:p w:rsidR="00321AF5" w:rsidRDefault="00321A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AF5" w:rsidRPr="00005839" w:rsidRDefault="00321AF5">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rsidR="00321AF5" w:rsidRPr="00005839" w:rsidRDefault="00321AF5">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933452">
      <w:rPr>
        <w:rFonts w:ascii="Arial" w:hAnsi="Arial" w:cs="Arial"/>
        <w:b/>
        <w:bCs/>
        <w:sz w:val="18"/>
      </w:rPr>
      <w:fldChar w:fldCharType="begin"/>
    </w:r>
    <w:r w:rsidRPr="00A606C9">
      <w:rPr>
        <w:rFonts w:ascii="Arial" w:hAnsi="Arial" w:cs="Arial"/>
        <w:b/>
        <w:bCs/>
        <w:sz w:val="18"/>
        <w:lang w:val="fr-FR"/>
      </w:rPr>
      <w:instrText xml:space="preserve">page </w:instrText>
    </w:r>
    <w:r w:rsidR="00933452">
      <w:rPr>
        <w:rFonts w:ascii="Arial" w:hAnsi="Arial" w:cs="Arial"/>
        <w:b/>
        <w:bCs/>
        <w:sz w:val="18"/>
      </w:rPr>
      <w:fldChar w:fldCharType="separate"/>
    </w:r>
    <w:r w:rsidR="00BE297E">
      <w:rPr>
        <w:rFonts w:ascii="Arial" w:hAnsi="Arial" w:cs="Arial"/>
        <w:b/>
        <w:bCs/>
        <w:noProof/>
        <w:sz w:val="18"/>
        <w:lang w:val="fr-FR"/>
      </w:rPr>
      <w:t>2</w:t>
    </w:r>
    <w:r w:rsidR="00933452">
      <w:rPr>
        <w:rFonts w:ascii="Arial" w:hAnsi="Arial" w:cs="Arial"/>
        <w:b/>
        <w:bCs/>
        <w:sz w:val="18"/>
      </w:rPr>
      <w:fldChar w:fldCharType="end"/>
    </w:r>
  </w:p>
  <w:p w:rsidR="00321AF5" w:rsidRPr="00005839" w:rsidRDefault="00321A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445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922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50D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8AE2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30CE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9A38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2284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82AC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00E0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48B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1C904D2"/>
    <w:multiLevelType w:val="hybridMultilevel"/>
    <w:tmpl w:val="96D84D6E"/>
    <w:lvl w:ilvl="0" w:tplc="07CC7E44">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6" w15:restartNumberingAfterBreak="0">
    <w:nsid w:val="14DF5310"/>
    <w:multiLevelType w:val="hybridMultilevel"/>
    <w:tmpl w:val="CAFE1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7425FB"/>
    <w:multiLevelType w:val="hybridMultilevel"/>
    <w:tmpl w:val="A47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714EE3"/>
    <w:multiLevelType w:val="hybridMultilevel"/>
    <w:tmpl w:val="1ED8B4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3" w15:restartNumberingAfterBreak="0">
    <w:nsid w:val="5B5E7B90"/>
    <w:multiLevelType w:val="hybridMultilevel"/>
    <w:tmpl w:val="48F8C248"/>
    <w:lvl w:ilvl="0" w:tplc="BAA2798C">
      <w:start w:val="1"/>
      <w:numFmt w:val="bullet"/>
      <w:lvlText w:val="•"/>
      <w:lvlJc w:val="left"/>
      <w:pPr>
        <w:tabs>
          <w:tab w:val="num" w:pos="720"/>
        </w:tabs>
        <w:ind w:left="720" w:hanging="360"/>
      </w:pPr>
      <w:rPr>
        <w:rFonts w:ascii="Arial" w:hAnsi="Arial" w:hint="default"/>
      </w:rPr>
    </w:lvl>
    <w:lvl w:ilvl="1" w:tplc="56F2F3E8">
      <w:start w:val="1353"/>
      <w:numFmt w:val="bullet"/>
      <w:lvlText w:val="-"/>
      <w:lvlJc w:val="left"/>
      <w:pPr>
        <w:tabs>
          <w:tab w:val="num" w:pos="1440"/>
        </w:tabs>
        <w:ind w:left="1440" w:hanging="360"/>
      </w:pPr>
      <w:rPr>
        <w:rFonts w:ascii="Lucida Grande" w:hAnsi="Lucida Grande" w:hint="default"/>
      </w:rPr>
    </w:lvl>
    <w:lvl w:ilvl="2" w:tplc="BFF46600" w:tentative="1">
      <w:start w:val="1"/>
      <w:numFmt w:val="bullet"/>
      <w:lvlText w:val="•"/>
      <w:lvlJc w:val="left"/>
      <w:pPr>
        <w:tabs>
          <w:tab w:val="num" w:pos="2160"/>
        </w:tabs>
        <w:ind w:left="2160" w:hanging="360"/>
      </w:pPr>
      <w:rPr>
        <w:rFonts w:ascii="Arial" w:hAnsi="Arial" w:hint="default"/>
      </w:rPr>
    </w:lvl>
    <w:lvl w:ilvl="3" w:tplc="6CF8EFEE" w:tentative="1">
      <w:start w:val="1"/>
      <w:numFmt w:val="bullet"/>
      <w:lvlText w:val="•"/>
      <w:lvlJc w:val="left"/>
      <w:pPr>
        <w:tabs>
          <w:tab w:val="num" w:pos="2880"/>
        </w:tabs>
        <w:ind w:left="2880" w:hanging="360"/>
      </w:pPr>
      <w:rPr>
        <w:rFonts w:ascii="Arial" w:hAnsi="Arial" w:hint="default"/>
      </w:rPr>
    </w:lvl>
    <w:lvl w:ilvl="4" w:tplc="33E2AF06" w:tentative="1">
      <w:start w:val="1"/>
      <w:numFmt w:val="bullet"/>
      <w:lvlText w:val="•"/>
      <w:lvlJc w:val="left"/>
      <w:pPr>
        <w:tabs>
          <w:tab w:val="num" w:pos="3600"/>
        </w:tabs>
        <w:ind w:left="3600" w:hanging="360"/>
      </w:pPr>
      <w:rPr>
        <w:rFonts w:ascii="Arial" w:hAnsi="Arial" w:hint="default"/>
      </w:rPr>
    </w:lvl>
    <w:lvl w:ilvl="5" w:tplc="01487D54" w:tentative="1">
      <w:start w:val="1"/>
      <w:numFmt w:val="bullet"/>
      <w:lvlText w:val="•"/>
      <w:lvlJc w:val="left"/>
      <w:pPr>
        <w:tabs>
          <w:tab w:val="num" w:pos="4320"/>
        </w:tabs>
        <w:ind w:left="4320" w:hanging="360"/>
      </w:pPr>
      <w:rPr>
        <w:rFonts w:ascii="Arial" w:hAnsi="Arial" w:hint="default"/>
      </w:rPr>
    </w:lvl>
    <w:lvl w:ilvl="6" w:tplc="7FFEB478" w:tentative="1">
      <w:start w:val="1"/>
      <w:numFmt w:val="bullet"/>
      <w:lvlText w:val="•"/>
      <w:lvlJc w:val="left"/>
      <w:pPr>
        <w:tabs>
          <w:tab w:val="num" w:pos="5040"/>
        </w:tabs>
        <w:ind w:left="5040" w:hanging="360"/>
      </w:pPr>
      <w:rPr>
        <w:rFonts w:ascii="Arial" w:hAnsi="Arial" w:hint="default"/>
      </w:rPr>
    </w:lvl>
    <w:lvl w:ilvl="7" w:tplc="FEA004F2" w:tentative="1">
      <w:start w:val="1"/>
      <w:numFmt w:val="bullet"/>
      <w:lvlText w:val="•"/>
      <w:lvlJc w:val="left"/>
      <w:pPr>
        <w:tabs>
          <w:tab w:val="num" w:pos="5760"/>
        </w:tabs>
        <w:ind w:left="5760" w:hanging="360"/>
      </w:pPr>
      <w:rPr>
        <w:rFonts w:ascii="Arial" w:hAnsi="Arial" w:hint="default"/>
      </w:rPr>
    </w:lvl>
    <w:lvl w:ilvl="8" w:tplc="18EA3B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0BF4EEC"/>
    <w:multiLevelType w:val="hybridMultilevel"/>
    <w:tmpl w:val="3EBE787A"/>
    <w:lvl w:ilvl="0" w:tplc="7E947A4E">
      <w:numFmt w:val="bullet"/>
      <w:lvlText w:val="•"/>
      <w:lvlJc w:val="left"/>
      <w:pPr>
        <w:ind w:left="1665" w:hanging="130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B6F2B"/>
    <w:multiLevelType w:val="hybridMultilevel"/>
    <w:tmpl w:val="2E1C49B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9C1755"/>
    <w:multiLevelType w:val="hybridMultilevel"/>
    <w:tmpl w:val="9E70DC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84287A"/>
    <w:multiLevelType w:val="hybridMultilevel"/>
    <w:tmpl w:val="2DE04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3"/>
  </w:num>
  <w:num w:numId="5">
    <w:abstractNumId w:val="34"/>
  </w:num>
  <w:num w:numId="6">
    <w:abstractNumId w:val="21"/>
  </w:num>
  <w:num w:numId="7">
    <w:abstractNumId w:val="19"/>
  </w:num>
  <w:num w:numId="8">
    <w:abstractNumId w:val="29"/>
  </w:num>
  <w:num w:numId="9">
    <w:abstractNumId w:val="27"/>
  </w:num>
  <w:num w:numId="10">
    <w:abstractNumId w:val="23"/>
  </w:num>
  <w:num w:numId="11">
    <w:abstractNumId w:val="14"/>
  </w:num>
  <w:num w:numId="12">
    <w:abstractNumId w:val="42"/>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40"/>
  </w:num>
  <w:num w:numId="27">
    <w:abstractNumId w:val="39"/>
  </w:num>
  <w:num w:numId="28">
    <w:abstractNumId w:val="43"/>
  </w:num>
  <w:num w:numId="29">
    <w:abstractNumId w:val="28"/>
  </w:num>
  <w:num w:numId="30">
    <w:abstractNumId w:val="11"/>
  </w:num>
  <w:num w:numId="31">
    <w:abstractNumId w:val="38"/>
  </w:num>
  <w:num w:numId="32">
    <w:abstractNumId w:val="17"/>
  </w:num>
  <w:num w:numId="33">
    <w:abstractNumId w:val="12"/>
  </w:num>
  <w:num w:numId="34">
    <w:abstractNumId w:val="32"/>
  </w:num>
  <w:num w:numId="35">
    <w:abstractNumId w:val="18"/>
  </w:num>
  <w:num w:numId="36">
    <w:abstractNumId w:val="36"/>
  </w:num>
  <w:num w:numId="37">
    <w:abstractNumId w:val="16"/>
  </w:num>
  <w:num w:numId="38">
    <w:abstractNumId w:val="37"/>
  </w:num>
  <w:num w:numId="39">
    <w:abstractNumId w:val="22"/>
  </w:num>
  <w:num w:numId="40">
    <w:abstractNumId w:val="20"/>
  </w:num>
  <w:num w:numId="41">
    <w:abstractNumId w:val="35"/>
  </w:num>
  <w:num w:numId="42">
    <w:abstractNumId w:val="33"/>
  </w:num>
  <w:num w:numId="43">
    <w:abstractNumId w:val="41"/>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444B"/>
    <w:rsid w:val="00004F7B"/>
    <w:rsid w:val="00005839"/>
    <w:rsid w:val="000151B4"/>
    <w:rsid w:val="00020935"/>
    <w:rsid w:val="000222BA"/>
    <w:rsid w:val="00023477"/>
    <w:rsid w:val="00032363"/>
    <w:rsid w:val="000413C9"/>
    <w:rsid w:val="00047763"/>
    <w:rsid w:val="0005213D"/>
    <w:rsid w:val="00077D47"/>
    <w:rsid w:val="000850FC"/>
    <w:rsid w:val="000862C6"/>
    <w:rsid w:val="000A5AE8"/>
    <w:rsid w:val="000B5934"/>
    <w:rsid w:val="000C0FA9"/>
    <w:rsid w:val="000C3DA3"/>
    <w:rsid w:val="000C6E97"/>
    <w:rsid w:val="000D1315"/>
    <w:rsid w:val="000D55D7"/>
    <w:rsid w:val="000E087D"/>
    <w:rsid w:val="000F46E4"/>
    <w:rsid w:val="001031A2"/>
    <w:rsid w:val="00105C49"/>
    <w:rsid w:val="00113764"/>
    <w:rsid w:val="00117825"/>
    <w:rsid w:val="001260F9"/>
    <w:rsid w:val="00135218"/>
    <w:rsid w:val="001549E2"/>
    <w:rsid w:val="00161E37"/>
    <w:rsid w:val="001632B7"/>
    <w:rsid w:val="0017344E"/>
    <w:rsid w:val="0017348A"/>
    <w:rsid w:val="00185912"/>
    <w:rsid w:val="00195E7A"/>
    <w:rsid w:val="001A259D"/>
    <w:rsid w:val="001A4293"/>
    <w:rsid w:val="001B41D6"/>
    <w:rsid w:val="001C0525"/>
    <w:rsid w:val="001D67ED"/>
    <w:rsid w:val="001E4DD3"/>
    <w:rsid w:val="001E642D"/>
    <w:rsid w:val="001E719E"/>
    <w:rsid w:val="001F2798"/>
    <w:rsid w:val="001F3DBE"/>
    <w:rsid w:val="002021EE"/>
    <w:rsid w:val="00205DD9"/>
    <w:rsid w:val="00216BE9"/>
    <w:rsid w:val="002251EE"/>
    <w:rsid w:val="002259FB"/>
    <w:rsid w:val="002312AA"/>
    <w:rsid w:val="00233B62"/>
    <w:rsid w:val="0023517F"/>
    <w:rsid w:val="00235D5F"/>
    <w:rsid w:val="00254C71"/>
    <w:rsid w:val="00257A42"/>
    <w:rsid w:val="002654A7"/>
    <w:rsid w:val="00276E22"/>
    <w:rsid w:val="00282E54"/>
    <w:rsid w:val="00286B4C"/>
    <w:rsid w:val="00287EF5"/>
    <w:rsid w:val="00293D64"/>
    <w:rsid w:val="002A149E"/>
    <w:rsid w:val="002A429D"/>
    <w:rsid w:val="002C246B"/>
    <w:rsid w:val="002D0297"/>
    <w:rsid w:val="002D0B54"/>
    <w:rsid w:val="002D13A6"/>
    <w:rsid w:val="002D28FF"/>
    <w:rsid w:val="002D7178"/>
    <w:rsid w:val="002E2D5E"/>
    <w:rsid w:val="002E355D"/>
    <w:rsid w:val="002E4E85"/>
    <w:rsid w:val="002E5200"/>
    <w:rsid w:val="002E743B"/>
    <w:rsid w:val="002F5582"/>
    <w:rsid w:val="002F723F"/>
    <w:rsid w:val="00302229"/>
    <w:rsid w:val="00312D95"/>
    <w:rsid w:val="00321AF5"/>
    <w:rsid w:val="003378C7"/>
    <w:rsid w:val="00345BE7"/>
    <w:rsid w:val="00347DC7"/>
    <w:rsid w:val="003553E9"/>
    <w:rsid w:val="00363E7B"/>
    <w:rsid w:val="00375A7D"/>
    <w:rsid w:val="00377A75"/>
    <w:rsid w:val="00385C2D"/>
    <w:rsid w:val="00386825"/>
    <w:rsid w:val="00393D0A"/>
    <w:rsid w:val="003A277A"/>
    <w:rsid w:val="003A46EE"/>
    <w:rsid w:val="003A4D35"/>
    <w:rsid w:val="003A559D"/>
    <w:rsid w:val="003A73BC"/>
    <w:rsid w:val="003A751C"/>
    <w:rsid w:val="003A76CB"/>
    <w:rsid w:val="003B16C9"/>
    <w:rsid w:val="003B2BA8"/>
    <w:rsid w:val="003B3EC7"/>
    <w:rsid w:val="003C0A3B"/>
    <w:rsid w:val="003C2E79"/>
    <w:rsid w:val="003C5D3F"/>
    <w:rsid w:val="003C721D"/>
    <w:rsid w:val="003C7582"/>
    <w:rsid w:val="003D73D7"/>
    <w:rsid w:val="003D7E5F"/>
    <w:rsid w:val="003F12D4"/>
    <w:rsid w:val="003F24F2"/>
    <w:rsid w:val="004009B3"/>
    <w:rsid w:val="004229B1"/>
    <w:rsid w:val="00440983"/>
    <w:rsid w:val="004461A1"/>
    <w:rsid w:val="0044626C"/>
    <w:rsid w:val="00450280"/>
    <w:rsid w:val="00460292"/>
    <w:rsid w:val="00460E59"/>
    <w:rsid w:val="00467570"/>
    <w:rsid w:val="004708CD"/>
    <w:rsid w:val="00474B2E"/>
    <w:rsid w:val="0048130E"/>
    <w:rsid w:val="00492525"/>
    <w:rsid w:val="004949EB"/>
    <w:rsid w:val="00497352"/>
    <w:rsid w:val="004A2E8B"/>
    <w:rsid w:val="004A67C9"/>
    <w:rsid w:val="004B76FE"/>
    <w:rsid w:val="004C04C8"/>
    <w:rsid w:val="004C34C8"/>
    <w:rsid w:val="004E34D6"/>
    <w:rsid w:val="00500713"/>
    <w:rsid w:val="00504206"/>
    <w:rsid w:val="00510892"/>
    <w:rsid w:val="00516B67"/>
    <w:rsid w:val="00517B17"/>
    <w:rsid w:val="00526DAB"/>
    <w:rsid w:val="00531E69"/>
    <w:rsid w:val="005326B5"/>
    <w:rsid w:val="005509C5"/>
    <w:rsid w:val="00550E31"/>
    <w:rsid w:val="005549E8"/>
    <w:rsid w:val="00562239"/>
    <w:rsid w:val="00566C5A"/>
    <w:rsid w:val="00566DE9"/>
    <w:rsid w:val="00583BDC"/>
    <w:rsid w:val="00587242"/>
    <w:rsid w:val="00587314"/>
    <w:rsid w:val="0058743B"/>
    <w:rsid w:val="0059789E"/>
    <w:rsid w:val="005A7E30"/>
    <w:rsid w:val="005B19C4"/>
    <w:rsid w:val="005B7154"/>
    <w:rsid w:val="005C04B0"/>
    <w:rsid w:val="005D072D"/>
    <w:rsid w:val="005E44C2"/>
    <w:rsid w:val="005E5C93"/>
    <w:rsid w:val="005E7B2C"/>
    <w:rsid w:val="005F7B80"/>
    <w:rsid w:val="006035B3"/>
    <w:rsid w:val="0060410D"/>
    <w:rsid w:val="00622704"/>
    <w:rsid w:val="006552B1"/>
    <w:rsid w:val="006612B2"/>
    <w:rsid w:val="0068273F"/>
    <w:rsid w:val="006868ED"/>
    <w:rsid w:val="006870CA"/>
    <w:rsid w:val="0069202A"/>
    <w:rsid w:val="00692A03"/>
    <w:rsid w:val="006A3598"/>
    <w:rsid w:val="006C40A9"/>
    <w:rsid w:val="006C4BC0"/>
    <w:rsid w:val="006D04FD"/>
    <w:rsid w:val="006D52E6"/>
    <w:rsid w:val="006E1C99"/>
    <w:rsid w:val="006E3841"/>
    <w:rsid w:val="006F0ADD"/>
    <w:rsid w:val="006F2A89"/>
    <w:rsid w:val="006F5268"/>
    <w:rsid w:val="006F5354"/>
    <w:rsid w:val="007045D7"/>
    <w:rsid w:val="007150C0"/>
    <w:rsid w:val="0072298C"/>
    <w:rsid w:val="00727DB8"/>
    <w:rsid w:val="0073482C"/>
    <w:rsid w:val="00734B66"/>
    <w:rsid w:val="00747141"/>
    <w:rsid w:val="00751C3B"/>
    <w:rsid w:val="00753DE0"/>
    <w:rsid w:val="00760B1B"/>
    <w:rsid w:val="007728D3"/>
    <w:rsid w:val="00772EF7"/>
    <w:rsid w:val="00793D64"/>
    <w:rsid w:val="007A111B"/>
    <w:rsid w:val="007A6C4A"/>
    <w:rsid w:val="007C4775"/>
    <w:rsid w:val="007C7C0A"/>
    <w:rsid w:val="007D51D7"/>
    <w:rsid w:val="007E7A4B"/>
    <w:rsid w:val="007F1780"/>
    <w:rsid w:val="00801244"/>
    <w:rsid w:val="008061B1"/>
    <w:rsid w:val="008207B3"/>
    <w:rsid w:val="008352D2"/>
    <w:rsid w:val="0084085E"/>
    <w:rsid w:val="00850542"/>
    <w:rsid w:val="00862703"/>
    <w:rsid w:val="00866685"/>
    <w:rsid w:val="00876373"/>
    <w:rsid w:val="00885A7B"/>
    <w:rsid w:val="00896618"/>
    <w:rsid w:val="008B1315"/>
    <w:rsid w:val="008C2813"/>
    <w:rsid w:val="008C401B"/>
    <w:rsid w:val="008C7832"/>
    <w:rsid w:val="008D68CD"/>
    <w:rsid w:val="008E32B8"/>
    <w:rsid w:val="008F06D8"/>
    <w:rsid w:val="008F1654"/>
    <w:rsid w:val="008F1790"/>
    <w:rsid w:val="008F4069"/>
    <w:rsid w:val="008F5295"/>
    <w:rsid w:val="008F5A65"/>
    <w:rsid w:val="00905F15"/>
    <w:rsid w:val="00905F7D"/>
    <w:rsid w:val="00911EAB"/>
    <w:rsid w:val="00913589"/>
    <w:rsid w:val="00920414"/>
    <w:rsid w:val="00920DA2"/>
    <w:rsid w:val="00924410"/>
    <w:rsid w:val="00933452"/>
    <w:rsid w:val="0098364B"/>
    <w:rsid w:val="0099009D"/>
    <w:rsid w:val="00994B0D"/>
    <w:rsid w:val="00995CA4"/>
    <w:rsid w:val="00997507"/>
    <w:rsid w:val="009B3F7D"/>
    <w:rsid w:val="009C15E7"/>
    <w:rsid w:val="009D0354"/>
    <w:rsid w:val="009E413B"/>
    <w:rsid w:val="009F7C20"/>
    <w:rsid w:val="00A01D9A"/>
    <w:rsid w:val="00A20D39"/>
    <w:rsid w:val="00A245EA"/>
    <w:rsid w:val="00A2502B"/>
    <w:rsid w:val="00A41677"/>
    <w:rsid w:val="00A51EE2"/>
    <w:rsid w:val="00A529CC"/>
    <w:rsid w:val="00A5444C"/>
    <w:rsid w:val="00A56343"/>
    <w:rsid w:val="00A606C9"/>
    <w:rsid w:val="00A615EC"/>
    <w:rsid w:val="00A737AC"/>
    <w:rsid w:val="00A7418A"/>
    <w:rsid w:val="00A91424"/>
    <w:rsid w:val="00A9511C"/>
    <w:rsid w:val="00AA5979"/>
    <w:rsid w:val="00AB4284"/>
    <w:rsid w:val="00AB435D"/>
    <w:rsid w:val="00AB4DFC"/>
    <w:rsid w:val="00AB4EF5"/>
    <w:rsid w:val="00AB77AD"/>
    <w:rsid w:val="00AC2BD5"/>
    <w:rsid w:val="00AC4A0E"/>
    <w:rsid w:val="00AC69FB"/>
    <w:rsid w:val="00AF4908"/>
    <w:rsid w:val="00B15AF4"/>
    <w:rsid w:val="00B221FB"/>
    <w:rsid w:val="00B32572"/>
    <w:rsid w:val="00B361F0"/>
    <w:rsid w:val="00B45B45"/>
    <w:rsid w:val="00B56584"/>
    <w:rsid w:val="00B709C6"/>
    <w:rsid w:val="00B76D9E"/>
    <w:rsid w:val="00B92C58"/>
    <w:rsid w:val="00B93455"/>
    <w:rsid w:val="00BB4F64"/>
    <w:rsid w:val="00BC55AA"/>
    <w:rsid w:val="00BC62BF"/>
    <w:rsid w:val="00BD691F"/>
    <w:rsid w:val="00BD743A"/>
    <w:rsid w:val="00BE297E"/>
    <w:rsid w:val="00BF23D0"/>
    <w:rsid w:val="00BF5CC5"/>
    <w:rsid w:val="00BF71B3"/>
    <w:rsid w:val="00C02E77"/>
    <w:rsid w:val="00C06218"/>
    <w:rsid w:val="00C11F13"/>
    <w:rsid w:val="00C303EC"/>
    <w:rsid w:val="00C3307B"/>
    <w:rsid w:val="00C42BF8"/>
    <w:rsid w:val="00C449D1"/>
    <w:rsid w:val="00C47B70"/>
    <w:rsid w:val="00C5314B"/>
    <w:rsid w:val="00C53AFC"/>
    <w:rsid w:val="00C55CFF"/>
    <w:rsid w:val="00C614B7"/>
    <w:rsid w:val="00C61682"/>
    <w:rsid w:val="00C6614A"/>
    <w:rsid w:val="00C73FE1"/>
    <w:rsid w:val="00C75A25"/>
    <w:rsid w:val="00C76236"/>
    <w:rsid w:val="00C84116"/>
    <w:rsid w:val="00C84326"/>
    <w:rsid w:val="00C86E8A"/>
    <w:rsid w:val="00CA4B1B"/>
    <w:rsid w:val="00CA550E"/>
    <w:rsid w:val="00CA74D4"/>
    <w:rsid w:val="00CB73DC"/>
    <w:rsid w:val="00CC5766"/>
    <w:rsid w:val="00CC6B46"/>
    <w:rsid w:val="00CD75F6"/>
    <w:rsid w:val="00CE0416"/>
    <w:rsid w:val="00CE230D"/>
    <w:rsid w:val="00CE27A8"/>
    <w:rsid w:val="00CF3F33"/>
    <w:rsid w:val="00D10F2F"/>
    <w:rsid w:val="00D26E4E"/>
    <w:rsid w:val="00D31BDD"/>
    <w:rsid w:val="00D538DE"/>
    <w:rsid w:val="00D665B4"/>
    <w:rsid w:val="00D72E0B"/>
    <w:rsid w:val="00D74EE6"/>
    <w:rsid w:val="00D84791"/>
    <w:rsid w:val="00D84CD5"/>
    <w:rsid w:val="00D97F19"/>
    <w:rsid w:val="00DA208F"/>
    <w:rsid w:val="00DA6535"/>
    <w:rsid w:val="00DD7403"/>
    <w:rsid w:val="00DE66C2"/>
    <w:rsid w:val="00DE79D3"/>
    <w:rsid w:val="00DF6880"/>
    <w:rsid w:val="00DF7FB6"/>
    <w:rsid w:val="00E13B9A"/>
    <w:rsid w:val="00E17AAE"/>
    <w:rsid w:val="00E35AB9"/>
    <w:rsid w:val="00E37761"/>
    <w:rsid w:val="00E42AA6"/>
    <w:rsid w:val="00E53A8D"/>
    <w:rsid w:val="00E63E89"/>
    <w:rsid w:val="00E8135A"/>
    <w:rsid w:val="00E82F94"/>
    <w:rsid w:val="00E87B6D"/>
    <w:rsid w:val="00E96B34"/>
    <w:rsid w:val="00EB406D"/>
    <w:rsid w:val="00ED5158"/>
    <w:rsid w:val="00EE06F4"/>
    <w:rsid w:val="00EE3B2E"/>
    <w:rsid w:val="00EE6DED"/>
    <w:rsid w:val="00EF2C0B"/>
    <w:rsid w:val="00F074F1"/>
    <w:rsid w:val="00F105C9"/>
    <w:rsid w:val="00F158AC"/>
    <w:rsid w:val="00F17D03"/>
    <w:rsid w:val="00F30D2B"/>
    <w:rsid w:val="00F31BE3"/>
    <w:rsid w:val="00F36A8C"/>
    <w:rsid w:val="00F43106"/>
    <w:rsid w:val="00F44213"/>
    <w:rsid w:val="00F60246"/>
    <w:rsid w:val="00F72B7E"/>
    <w:rsid w:val="00F761A7"/>
    <w:rsid w:val="00F82929"/>
    <w:rsid w:val="00F9126D"/>
    <w:rsid w:val="00FA146A"/>
    <w:rsid w:val="00FA34B9"/>
    <w:rsid w:val="00FA4930"/>
    <w:rsid w:val="00FA5E4C"/>
    <w:rsid w:val="00FA79C8"/>
    <w:rsid w:val="00FB0BCA"/>
    <w:rsid w:val="00FB376D"/>
    <w:rsid w:val="00FB5917"/>
    <w:rsid w:val="00FB6296"/>
    <w:rsid w:val="00FE3265"/>
    <w:rsid w:val="00FF3EA5"/>
    <w:rsid w:val="00FF7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63C6CE5-5191-468D-9F4D-4091091A4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60E59"/>
    <w:pPr>
      <w:pBdr>
        <w:top w:val="none" w:sz="0" w:space="0" w:color="auto"/>
      </w:pBdr>
      <w:spacing w:before="180"/>
      <w:outlineLvl w:val="1"/>
    </w:pPr>
    <w:rPr>
      <w:sz w:val="32"/>
    </w:rPr>
  </w:style>
  <w:style w:type="paragraph" w:styleId="Heading3">
    <w:name w:val="heading 3"/>
    <w:basedOn w:val="Heading2"/>
    <w:next w:val="Normal"/>
    <w:link w:val="Heading3Char"/>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uiPriority w:val="99"/>
    <w:rsid w:val="00CE0416"/>
    <w:rPr>
      <w:sz w:val="16"/>
      <w:szCs w:val="16"/>
    </w:rPr>
  </w:style>
  <w:style w:type="paragraph" w:styleId="CommentText">
    <w:name w:val="annotation text"/>
    <w:basedOn w:val="Normal"/>
    <w:link w:val="CommentTextChar"/>
    <w:uiPriority w:val="99"/>
    <w:rsid w:val="00CE0416"/>
  </w:style>
  <w:style w:type="character" w:customStyle="1" w:styleId="CommentTextChar">
    <w:name w:val="Comment Text Char"/>
    <w:basedOn w:val="DefaultParagraphFont"/>
    <w:link w:val="CommentText"/>
    <w:uiPriority w:val="99"/>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C53AFC"/>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table" w:styleId="TableGrid">
    <w:name w:val="Table Grid"/>
    <w:basedOn w:val="TableNormal"/>
    <w:uiPriority w:val="59"/>
    <w:rsid w:val="00DF6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345BE7"/>
    <w:pPr>
      <w:overflowPunct/>
      <w:autoSpaceDE/>
      <w:autoSpaceDN/>
      <w:adjustRightInd/>
      <w:spacing w:after="220"/>
      <w:textAlignment w:val="auto"/>
    </w:pPr>
    <w:rPr>
      <w:rFonts w:ascii="Arial" w:eastAsia="Times New Roman" w:hAnsi="Arial"/>
      <w:color w:val="auto"/>
      <w:sz w:val="22"/>
      <w:lang w:val="en-US" w:eastAsia="en-US"/>
    </w:rPr>
  </w:style>
  <w:style w:type="character" w:customStyle="1" w:styleId="Heading1Char">
    <w:name w:val="Heading 1 Char"/>
    <w:basedOn w:val="DefaultParagraphFont"/>
    <w:link w:val="Heading1"/>
    <w:rsid w:val="00587242"/>
    <w:rPr>
      <w:rFonts w:ascii="Arial" w:hAnsi="Arial"/>
      <w:sz w:val="36"/>
      <w:lang w:val="en-GB" w:eastAsia="ja-JP"/>
    </w:rPr>
  </w:style>
  <w:style w:type="character" w:customStyle="1" w:styleId="Heading2Char">
    <w:name w:val="Heading 2 Char"/>
    <w:basedOn w:val="DefaultParagraphFont"/>
    <w:link w:val="Heading2"/>
    <w:rsid w:val="00587242"/>
    <w:rPr>
      <w:rFonts w:ascii="Arial" w:hAnsi="Arial"/>
      <w:sz w:val="32"/>
      <w:lang w:val="en-GB" w:eastAsia="ja-JP"/>
    </w:rPr>
  </w:style>
  <w:style w:type="character" w:customStyle="1" w:styleId="Heading3Char">
    <w:name w:val="Heading 3 Char"/>
    <w:basedOn w:val="DefaultParagraphFont"/>
    <w:link w:val="Heading3"/>
    <w:rsid w:val="00587242"/>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733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732581119">
      <w:bodyDiv w:val="1"/>
      <w:marLeft w:val="0"/>
      <w:marRight w:val="0"/>
      <w:marTop w:val="0"/>
      <w:marBottom w:val="0"/>
      <w:divBdr>
        <w:top w:val="none" w:sz="0" w:space="0" w:color="auto"/>
        <w:left w:val="none" w:sz="0" w:space="0" w:color="auto"/>
        <w:bottom w:val="none" w:sz="0" w:space="0" w:color="auto"/>
        <w:right w:val="none" w:sz="0" w:space="0" w:color="auto"/>
      </w:divBdr>
      <w:divsChild>
        <w:div w:id="17435272">
          <w:marLeft w:val="360"/>
          <w:marRight w:val="0"/>
          <w:marTop w:val="0"/>
          <w:marBottom w:val="120"/>
          <w:divBdr>
            <w:top w:val="none" w:sz="0" w:space="0" w:color="auto"/>
            <w:left w:val="none" w:sz="0" w:space="0" w:color="auto"/>
            <w:bottom w:val="none" w:sz="0" w:space="0" w:color="auto"/>
            <w:right w:val="none" w:sz="0" w:space="0" w:color="auto"/>
          </w:divBdr>
        </w:div>
        <w:div w:id="365956718">
          <w:marLeft w:val="360"/>
          <w:marRight w:val="0"/>
          <w:marTop w:val="0"/>
          <w:marBottom w:val="120"/>
          <w:divBdr>
            <w:top w:val="none" w:sz="0" w:space="0" w:color="auto"/>
            <w:left w:val="none" w:sz="0" w:space="0" w:color="auto"/>
            <w:bottom w:val="none" w:sz="0" w:space="0" w:color="auto"/>
            <w:right w:val="none" w:sz="0" w:space="0" w:color="auto"/>
          </w:divBdr>
        </w:div>
        <w:div w:id="337855682">
          <w:marLeft w:val="720"/>
          <w:marRight w:val="0"/>
          <w:marTop w:val="0"/>
          <w:marBottom w:val="120"/>
          <w:divBdr>
            <w:top w:val="none" w:sz="0" w:space="0" w:color="auto"/>
            <w:left w:val="none" w:sz="0" w:space="0" w:color="auto"/>
            <w:bottom w:val="none" w:sz="0" w:space="0" w:color="auto"/>
            <w:right w:val="none" w:sz="0" w:space="0" w:color="auto"/>
          </w:divBdr>
        </w:div>
        <w:div w:id="1714504873">
          <w:marLeft w:val="720"/>
          <w:marRight w:val="0"/>
          <w:marTop w:val="0"/>
          <w:marBottom w:val="120"/>
          <w:divBdr>
            <w:top w:val="none" w:sz="0" w:space="0" w:color="auto"/>
            <w:left w:val="none" w:sz="0" w:space="0" w:color="auto"/>
            <w:bottom w:val="none" w:sz="0" w:space="0" w:color="auto"/>
            <w:right w:val="none" w:sz="0" w:space="0" w:color="auto"/>
          </w:divBdr>
        </w:div>
        <w:div w:id="319623590">
          <w:marLeft w:val="720"/>
          <w:marRight w:val="0"/>
          <w:marTop w:val="0"/>
          <w:marBottom w:val="12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C9D7-C1D1-4461-AA1B-6CE722E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4</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14</cp:revision>
  <cp:lastPrinted>2003-09-26T17:29:00Z</cp:lastPrinted>
  <dcterms:created xsi:type="dcterms:W3CDTF">2016-03-21T21:07:00Z</dcterms:created>
  <dcterms:modified xsi:type="dcterms:W3CDTF">2016-04-05T06:21:00Z</dcterms:modified>
</cp:coreProperties>
</file>